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668CE" w14:textId="050EA259" w:rsidR="00DC0279" w:rsidRPr="0083357F" w:rsidRDefault="00433772" w:rsidP="00433772">
      <w:pPr>
        <w:pStyle w:val="Heading1"/>
        <w:numPr>
          <w:ilvl w:val="0"/>
          <w:numId w:val="0"/>
        </w:numPr>
        <w:rPr>
          <w:rFonts w:cs="Arial"/>
          <w:sz w:val="20"/>
          <w:lang w:val="de-DE"/>
        </w:rPr>
      </w:pPr>
      <w:r w:rsidRPr="0083357F">
        <w:rPr>
          <w:rFonts w:cs="Arial"/>
          <w:sz w:val="20"/>
          <w:lang w:val="de-DE"/>
        </w:rPr>
        <w:t>Anmerkungen zum Budget</w:t>
      </w:r>
      <w:r w:rsidR="00A07D4C" w:rsidRPr="0083357F">
        <w:rPr>
          <w:rFonts w:cs="Arial"/>
          <w:sz w:val="20"/>
          <w:lang w:val="de-DE"/>
        </w:rPr>
        <w:t xml:space="preserve"> VA 2021</w:t>
      </w:r>
      <w:r w:rsidRPr="0083357F">
        <w:rPr>
          <w:rFonts w:cs="Arial"/>
          <w:sz w:val="20"/>
          <w:lang w:val="de-DE"/>
        </w:rPr>
        <w:t xml:space="preserve"> der Gemeinde Klaus</w:t>
      </w:r>
    </w:p>
    <w:p w14:paraId="0F9EF7E3" w14:textId="7B4805ED" w:rsidR="004039EB" w:rsidRPr="0083357F" w:rsidRDefault="004039EB">
      <w:pPr>
        <w:rPr>
          <w:rFonts w:cs="Arial"/>
          <w:lang w:val="de-DE"/>
        </w:rPr>
      </w:pPr>
      <w:r w:rsidRPr="0083357F">
        <w:rPr>
          <w:rFonts w:cs="Arial"/>
          <w:lang w:val="de-DE"/>
        </w:rPr>
        <w:t>Mit dem Jahr 2020 wird die Voranschlags- und Rechnungslegung der Gemeinden auf die neue VRV 2015 umgestellt, was das Gemeindebudget transparenter macht, aber trotzdem nicht einfach zu verstehen ist</w:t>
      </w:r>
      <w:r w:rsidR="00175940" w:rsidRPr="0083357F">
        <w:rPr>
          <w:rStyle w:val="FootnoteReference"/>
          <w:rFonts w:cs="Arial"/>
          <w:lang w:val="de-DE"/>
        </w:rPr>
        <w:footnoteReference w:id="1"/>
      </w:r>
      <w:r w:rsidRPr="0083357F">
        <w:rPr>
          <w:rFonts w:cs="Arial"/>
          <w:lang w:val="de-DE"/>
        </w:rPr>
        <w:t>. Für 2020 gibt es bis jetzt nur einen Voranschlag und noch keinen Rechnungsabschluss (wird erst im März 2021 fertig). Die Erstellung eines Voranschlags für 2021 ist also schwierig, weil noch keine definitiven Zahlen aus 2020 vorliegen und nur eine Ausrichtung am Voranschlag von 2020 wegen Corona nicht sinnvoll ist.</w:t>
      </w:r>
    </w:p>
    <w:p w14:paraId="28192A5E" w14:textId="5850CA0F" w:rsidR="00260F24" w:rsidRPr="0083357F" w:rsidRDefault="00260F24" w:rsidP="00260F24">
      <w:pPr>
        <w:pStyle w:val="Heading2"/>
        <w:numPr>
          <w:ilvl w:val="0"/>
          <w:numId w:val="0"/>
        </w:numPr>
        <w:rPr>
          <w:rFonts w:cs="Arial"/>
          <w:sz w:val="20"/>
          <w:lang w:val="de-DE"/>
        </w:rPr>
      </w:pPr>
      <w:r w:rsidRPr="0083357F">
        <w:rPr>
          <w:rFonts w:cs="Arial"/>
          <w:sz w:val="20"/>
          <w:lang w:val="de-DE"/>
        </w:rPr>
        <w:t>Managementübersicht</w:t>
      </w:r>
    </w:p>
    <w:p w14:paraId="6D5D1288" w14:textId="571F6554" w:rsidR="004039EB" w:rsidRPr="0083357F" w:rsidRDefault="004039EB">
      <w:pPr>
        <w:rPr>
          <w:rFonts w:cs="Arial"/>
          <w:lang w:val="de-DE"/>
        </w:rPr>
      </w:pPr>
      <w:r w:rsidRPr="0083357F">
        <w:rPr>
          <w:rFonts w:cs="Arial"/>
          <w:lang w:val="de-DE"/>
        </w:rPr>
        <w:t xml:space="preserve">Zum Verständnis der Managementübersicht ist zuerst ein Überblick über den Vermögenshaushalt (die Bilanz) der Gemeinde sinnvoll. </w:t>
      </w:r>
      <w:r w:rsidR="00D228FA" w:rsidRPr="0083357F">
        <w:rPr>
          <w:rFonts w:cs="Arial"/>
          <w:lang w:val="de-DE"/>
        </w:rPr>
        <w:t xml:space="preserve">Der Vermögenshaushalt zum 1.1.2020 (die Eröffnungsbilanz) und zum 31.12.2020 sind aber wieder erst mit dem Rechnungsabschluss 2020 </w:t>
      </w:r>
      <w:r w:rsidR="003C36D3" w:rsidRPr="0083357F">
        <w:rPr>
          <w:rFonts w:cs="Arial"/>
          <w:lang w:val="de-DE"/>
        </w:rPr>
        <w:t>verfügbar</w:t>
      </w:r>
      <w:r w:rsidR="00D228FA" w:rsidRPr="0083357F">
        <w:rPr>
          <w:rFonts w:cs="Arial"/>
          <w:lang w:val="de-DE"/>
        </w:rPr>
        <w:t>. Es gibt aber einen Entwurf für den Vermögenshaushalt zum 1.1.2020, der zum Verständnis der Größenordnungen der Zahlen ausreichend ist (absolute Zahlen gerundet auf 1000 Euro, pro Kopf auf 1 Euro)</w:t>
      </w:r>
      <w:r w:rsidR="00F93A3D" w:rsidRPr="0083357F">
        <w:rPr>
          <w:rFonts w:cs="Arial"/>
          <w:lang w:val="de-DE"/>
        </w:rPr>
        <w:t xml:space="preserve">. </w:t>
      </w:r>
      <w:r w:rsidR="00247EA2" w:rsidRPr="0083357F">
        <w:rPr>
          <w:rFonts w:cs="Arial"/>
          <w:lang w:val="de-DE"/>
        </w:rPr>
        <w:t xml:space="preserve">Im VA 2021 auf </w:t>
      </w:r>
      <w:r w:rsidR="00F93A3D" w:rsidRPr="0083357F">
        <w:rPr>
          <w:rFonts w:cs="Arial"/>
          <w:lang w:val="de-DE"/>
        </w:rPr>
        <w:t xml:space="preserve">Seite 10 stehen noch </w:t>
      </w:r>
      <w:r w:rsidR="00247EA2" w:rsidRPr="0083357F">
        <w:rPr>
          <w:rFonts w:cs="Arial"/>
          <w:lang w:val="de-DE"/>
        </w:rPr>
        <w:t>etwas andere Zahlen.</w:t>
      </w:r>
    </w:p>
    <w:p w14:paraId="585D4840" w14:textId="671FF2DB" w:rsidR="00D228FA" w:rsidRPr="0083357F" w:rsidRDefault="00D228FA">
      <w:pPr>
        <w:rPr>
          <w:rFonts w:cs="Arial"/>
          <w:lang w:val="de-DE"/>
        </w:rPr>
      </w:pPr>
    </w:p>
    <w:p w14:paraId="4FB4A8A7" w14:textId="02D66DDE" w:rsidR="003B783D" w:rsidRPr="0083357F" w:rsidRDefault="003B783D">
      <w:pPr>
        <w:rPr>
          <w:rFonts w:cs="Arial"/>
          <w:lang w:val="de-DE"/>
        </w:rPr>
      </w:pPr>
      <w:r w:rsidRPr="0083357F">
        <w:rPr>
          <w:rFonts w:cs="Arial"/>
          <w:lang w:val="de-DE"/>
        </w:rPr>
        <w:t>Aktiva:</w:t>
      </w:r>
    </w:p>
    <w:p w14:paraId="414877A9" w14:textId="6329A0FB" w:rsidR="00D228FA" w:rsidRPr="0083357F" w:rsidRDefault="00D228FA" w:rsidP="00D228FA">
      <w:pPr>
        <w:pStyle w:val="ListParagraph"/>
        <w:numPr>
          <w:ilvl w:val="0"/>
          <w:numId w:val="10"/>
        </w:numPr>
        <w:rPr>
          <w:rFonts w:cs="Arial"/>
          <w:lang w:val="de-DE"/>
        </w:rPr>
      </w:pPr>
      <w:r w:rsidRPr="0083357F">
        <w:rPr>
          <w:rFonts w:cs="Arial"/>
          <w:lang w:val="de-DE"/>
        </w:rPr>
        <w:t>Langfristiges Vermögen €52.636.000.- (pro Kopf €16.979.-)</w:t>
      </w:r>
      <w:r w:rsidR="003B783D" w:rsidRPr="0083357F">
        <w:rPr>
          <w:rFonts w:cs="Arial"/>
          <w:lang w:val="de-DE"/>
        </w:rPr>
        <w:t>.</w:t>
      </w:r>
      <w:r w:rsidRPr="0083357F">
        <w:rPr>
          <w:rFonts w:cs="Arial"/>
          <w:lang w:val="de-DE"/>
        </w:rPr>
        <w:t xml:space="preserve"> </w:t>
      </w:r>
      <w:r w:rsidR="003B783D" w:rsidRPr="0083357F">
        <w:rPr>
          <w:rFonts w:cs="Arial"/>
          <w:lang w:val="de-DE"/>
        </w:rPr>
        <w:t>D</w:t>
      </w:r>
      <w:r w:rsidRPr="0083357F">
        <w:rPr>
          <w:rFonts w:cs="Arial"/>
          <w:lang w:val="de-DE"/>
        </w:rPr>
        <w:t xml:space="preserve">azu zählen Grundstücke, Gebäude, Infrastruktur und Ausstattung. Eine detaillierte Auflistung dieser Vermögenswerte </w:t>
      </w:r>
      <w:r w:rsidR="003B783D" w:rsidRPr="0083357F">
        <w:rPr>
          <w:rFonts w:cs="Arial"/>
          <w:lang w:val="de-DE"/>
        </w:rPr>
        <w:t>steht</w:t>
      </w:r>
      <w:r w:rsidRPr="0083357F">
        <w:rPr>
          <w:rFonts w:cs="Arial"/>
          <w:lang w:val="de-DE"/>
        </w:rPr>
        <w:t xml:space="preserve"> im Rechnungsabschluss, weil  damit die Abschreibungen berechnet werden (auch im RA 2019 ist eine Liste mit allen Grundstücksnummern im Gemeindebesitz verfügbar).</w:t>
      </w:r>
    </w:p>
    <w:p w14:paraId="44B5AF1F" w14:textId="1E5A260C" w:rsidR="00D228FA" w:rsidRPr="0083357F" w:rsidRDefault="00D228FA" w:rsidP="00D228FA">
      <w:pPr>
        <w:pStyle w:val="ListParagraph"/>
        <w:numPr>
          <w:ilvl w:val="0"/>
          <w:numId w:val="10"/>
        </w:numPr>
        <w:rPr>
          <w:rFonts w:cs="Arial"/>
          <w:lang w:val="de-DE"/>
        </w:rPr>
      </w:pPr>
      <w:r w:rsidRPr="0083357F">
        <w:rPr>
          <w:rFonts w:cs="Arial"/>
          <w:lang w:val="de-DE"/>
        </w:rPr>
        <w:t>Kurzfristiges Vermögen €2.293.</w:t>
      </w:r>
      <w:r w:rsidR="003B783D" w:rsidRPr="0083357F">
        <w:rPr>
          <w:rFonts w:cs="Arial"/>
          <w:lang w:val="de-DE"/>
        </w:rPr>
        <w:t>000.- (pro Kopf €740.-). Dazu zählen vor allem auch die liquiden Mittel</w:t>
      </w:r>
      <w:r w:rsidR="00F93A3D" w:rsidRPr="0083357F">
        <w:rPr>
          <w:rFonts w:cs="Arial"/>
          <w:lang w:val="de-DE"/>
        </w:rPr>
        <w:t xml:space="preserve"> (Bankguthaben)</w:t>
      </w:r>
      <w:r w:rsidR="003B783D" w:rsidRPr="0083357F">
        <w:rPr>
          <w:rFonts w:cs="Arial"/>
          <w:lang w:val="de-DE"/>
        </w:rPr>
        <w:t xml:space="preserve"> von €1.981.000.- (pro Kopf €639.-).</w:t>
      </w:r>
    </w:p>
    <w:p w14:paraId="38D53F09" w14:textId="779FD0F5" w:rsidR="003B783D" w:rsidRPr="0083357F" w:rsidRDefault="003B783D" w:rsidP="003B783D">
      <w:pPr>
        <w:rPr>
          <w:rFonts w:cs="Arial"/>
          <w:lang w:val="de-DE"/>
        </w:rPr>
      </w:pPr>
      <w:r w:rsidRPr="0083357F">
        <w:rPr>
          <w:rFonts w:cs="Arial"/>
          <w:lang w:val="de-DE"/>
        </w:rPr>
        <w:t>Passiva:</w:t>
      </w:r>
    </w:p>
    <w:p w14:paraId="5959DA7E" w14:textId="35842565" w:rsidR="003B783D" w:rsidRPr="0083357F" w:rsidRDefault="003B783D" w:rsidP="00D228FA">
      <w:pPr>
        <w:pStyle w:val="ListParagraph"/>
        <w:numPr>
          <w:ilvl w:val="0"/>
          <w:numId w:val="10"/>
        </w:numPr>
        <w:rPr>
          <w:rFonts w:cs="Arial"/>
          <w:lang w:val="de-DE"/>
        </w:rPr>
      </w:pPr>
      <w:r w:rsidRPr="0083357F">
        <w:rPr>
          <w:rFonts w:cs="Arial"/>
          <w:lang w:val="de-DE"/>
        </w:rPr>
        <w:t>Langfristige Finanzschulden €14.144.000.- (pro Kopf €4.563.-).</w:t>
      </w:r>
    </w:p>
    <w:p w14:paraId="69CB40DC" w14:textId="7F7324BE" w:rsidR="003B783D" w:rsidRPr="0083357F" w:rsidRDefault="003B783D" w:rsidP="00D228FA">
      <w:pPr>
        <w:pStyle w:val="ListParagraph"/>
        <w:numPr>
          <w:ilvl w:val="0"/>
          <w:numId w:val="10"/>
        </w:numPr>
        <w:rPr>
          <w:rFonts w:cs="Arial"/>
          <w:lang w:val="de-DE"/>
        </w:rPr>
      </w:pPr>
      <w:r w:rsidRPr="0083357F">
        <w:rPr>
          <w:rFonts w:cs="Arial"/>
          <w:lang w:val="de-DE"/>
        </w:rPr>
        <w:t xml:space="preserve">Wenn man noch die Investitionszuschüsse und kurzfristigen Fremdmittel abzieht kommt man zu einem Nettovermögen von €27.764.000.- (pro Kopf €8.956.-). Die Veränderung des Nettovermögens </w:t>
      </w:r>
      <w:r w:rsidR="00612FF4" w:rsidRPr="0083357F">
        <w:rPr>
          <w:rFonts w:cs="Arial"/>
          <w:lang w:val="de-DE"/>
        </w:rPr>
        <w:t xml:space="preserve">über ein Jahr </w:t>
      </w:r>
      <w:r w:rsidRPr="0083357F">
        <w:rPr>
          <w:rFonts w:cs="Arial"/>
          <w:lang w:val="de-DE"/>
        </w:rPr>
        <w:t>zeigt sich im Nettoergebnis des Ergebnishaushalts</w:t>
      </w:r>
      <w:r w:rsidR="00612FF4" w:rsidRPr="0083357F">
        <w:rPr>
          <w:rFonts w:cs="Arial"/>
          <w:lang w:val="de-DE"/>
        </w:rPr>
        <w:t>.</w:t>
      </w:r>
    </w:p>
    <w:p w14:paraId="7F557C4A" w14:textId="154D14AC" w:rsidR="00612FF4" w:rsidRPr="0083357F" w:rsidRDefault="00612FF4" w:rsidP="00612FF4">
      <w:pPr>
        <w:rPr>
          <w:rFonts w:cs="Arial"/>
          <w:lang w:val="de-DE"/>
        </w:rPr>
      </w:pPr>
    </w:p>
    <w:p w14:paraId="491EC946" w14:textId="68215E40" w:rsidR="00612FF4" w:rsidRPr="0083357F" w:rsidRDefault="00612FF4" w:rsidP="00612FF4">
      <w:pPr>
        <w:rPr>
          <w:rFonts w:cs="Arial"/>
          <w:lang w:val="de-DE"/>
        </w:rPr>
      </w:pPr>
      <w:r w:rsidRPr="0083357F">
        <w:rPr>
          <w:rFonts w:cs="Arial"/>
          <w:lang w:val="de-DE"/>
        </w:rPr>
        <w:t xml:space="preserve">Die Managementübersicht </w:t>
      </w:r>
      <w:r w:rsidR="00F93A3D" w:rsidRPr="0083357F">
        <w:rPr>
          <w:rFonts w:cs="Arial"/>
          <w:lang w:val="de-DE"/>
        </w:rPr>
        <w:t>i</w:t>
      </w:r>
      <w:r w:rsidRPr="0083357F">
        <w:rPr>
          <w:rFonts w:cs="Arial"/>
          <w:lang w:val="de-DE"/>
        </w:rPr>
        <w:t>m VA 2021 (Seite 5) zeigt:</w:t>
      </w:r>
    </w:p>
    <w:p w14:paraId="099BDC76" w14:textId="215AE992" w:rsidR="002768E0" w:rsidRPr="0083357F" w:rsidRDefault="00612FF4" w:rsidP="002768E0">
      <w:pPr>
        <w:pStyle w:val="ListParagraph"/>
        <w:numPr>
          <w:ilvl w:val="0"/>
          <w:numId w:val="11"/>
        </w:numPr>
        <w:rPr>
          <w:rFonts w:cs="Arial"/>
          <w:lang w:val="de-DE"/>
        </w:rPr>
      </w:pPr>
      <w:r w:rsidRPr="0083357F">
        <w:rPr>
          <w:rFonts w:cs="Arial"/>
          <w:lang w:val="de-DE"/>
        </w:rPr>
        <w:t xml:space="preserve">Im Ergebnishaushalt stehen Erträgen von </w:t>
      </w:r>
      <w:r w:rsidR="0066213A" w:rsidRPr="0066213A">
        <w:rPr>
          <w:rFonts w:cs="Arial"/>
          <w:lang w:val="de-DE"/>
        </w:rPr>
        <w:t>8.455.800,00</w:t>
      </w:r>
      <w:r w:rsidRPr="0083357F">
        <w:rPr>
          <w:rFonts w:cs="Arial"/>
          <w:lang w:val="de-DE"/>
        </w:rPr>
        <w:t xml:space="preserve"> (2020: </w:t>
      </w:r>
      <w:r w:rsidR="00EC0605" w:rsidRPr="00EC0605">
        <w:rPr>
          <w:rFonts w:cs="Arial"/>
          <w:lang w:val="de-DE"/>
        </w:rPr>
        <w:t>8.773.700,00</w:t>
      </w:r>
      <w:r w:rsidRPr="0083357F">
        <w:rPr>
          <w:rFonts w:cs="Arial"/>
          <w:lang w:val="de-DE"/>
        </w:rPr>
        <w:t xml:space="preserve">) Aufwänden von </w:t>
      </w:r>
      <w:r w:rsidR="0066213A" w:rsidRPr="0066213A">
        <w:rPr>
          <w:rFonts w:cs="Arial"/>
          <w:lang w:val="de-DE"/>
        </w:rPr>
        <w:t>9.6</w:t>
      </w:r>
      <w:r w:rsidR="006A7F72">
        <w:rPr>
          <w:rFonts w:cs="Arial"/>
          <w:lang w:val="de-DE"/>
        </w:rPr>
        <w:t>90</w:t>
      </w:r>
      <w:r w:rsidR="0066213A" w:rsidRPr="0066213A">
        <w:rPr>
          <w:rFonts w:cs="Arial"/>
          <w:lang w:val="de-DE"/>
        </w:rPr>
        <w:t>.000,00</w:t>
      </w:r>
      <w:r w:rsidRPr="0083357F">
        <w:rPr>
          <w:rFonts w:cs="Arial"/>
          <w:lang w:val="de-DE"/>
        </w:rPr>
        <w:t xml:space="preserve"> (2020: 9.765.500,00) gegenüber, was ein negatives Nettoergebnis von</w:t>
      </w:r>
      <w:r w:rsidR="00260F24" w:rsidRPr="0083357F">
        <w:rPr>
          <w:rFonts w:cs="Arial"/>
          <w:lang w:val="de-DE"/>
        </w:rPr>
        <w:br/>
      </w:r>
      <w:r w:rsidR="0066213A" w:rsidRPr="0066213A">
        <w:rPr>
          <w:rFonts w:cs="Arial"/>
          <w:lang w:val="de-DE"/>
        </w:rPr>
        <w:t>-1.23</w:t>
      </w:r>
      <w:r w:rsidR="006A7F72">
        <w:rPr>
          <w:rFonts w:cs="Arial"/>
          <w:lang w:val="de-DE"/>
        </w:rPr>
        <w:t>4</w:t>
      </w:r>
      <w:r w:rsidR="0066213A" w:rsidRPr="0066213A">
        <w:rPr>
          <w:rFonts w:cs="Arial"/>
          <w:lang w:val="de-DE"/>
        </w:rPr>
        <w:t xml:space="preserve">.200,00 </w:t>
      </w:r>
      <w:r w:rsidRPr="0083357F">
        <w:rPr>
          <w:rFonts w:cs="Arial"/>
          <w:lang w:val="de-DE"/>
        </w:rPr>
        <w:t>(2020: -991.800,00) ergibt</w:t>
      </w:r>
      <w:r w:rsidR="00260F24" w:rsidRPr="0083357F">
        <w:rPr>
          <w:rFonts w:cs="Arial"/>
          <w:lang w:val="de-DE"/>
        </w:rPr>
        <w:t xml:space="preserve"> (Aufwanddeckungsgrad 87,2</w:t>
      </w:r>
      <w:r w:rsidR="0066213A">
        <w:rPr>
          <w:rFonts w:cs="Arial"/>
          <w:lang w:val="de-DE"/>
        </w:rPr>
        <w:t>8</w:t>
      </w:r>
      <w:r w:rsidR="00260F24" w:rsidRPr="0083357F">
        <w:rPr>
          <w:rFonts w:cs="Arial"/>
          <w:lang w:val="de-DE"/>
        </w:rPr>
        <w:t>% (2020: 89,84%))</w:t>
      </w:r>
      <w:r w:rsidRPr="0083357F">
        <w:rPr>
          <w:rFonts w:cs="Arial"/>
          <w:lang w:val="de-DE"/>
        </w:rPr>
        <w:t>. Um diesen Betrag reduziert sich das Vermögen der Gemeinde innerhalb eines Jahres</w:t>
      </w:r>
      <w:r w:rsidR="002768E0" w:rsidRPr="0083357F">
        <w:rPr>
          <w:rFonts w:cs="Arial"/>
          <w:lang w:val="de-DE"/>
        </w:rPr>
        <w:t xml:space="preserve"> (Verlust), vor allem weil Vermögenswerte abgeschrieben werden müssen.</w:t>
      </w:r>
    </w:p>
    <w:p w14:paraId="7F4E3588" w14:textId="0495754F" w:rsidR="002768E0" w:rsidRPr="0083357F" w:rsidRDefault="002768E0" w:rsidP="002768E0">
      <w:pPr>
        <w:pStyle w:val="ListParagraph"/>
        <w:numPr>
          <w:ilvl w:val="0"/>
          <w:numId w:val="11"/>
        </w:numPr>
        <w:rPr>
          <w:rFonts w:cs="Arial"/>
          <w:lang w:val="de-DE"/>
        </w:rPr>
      </w:pPr>
      <w:r w:rsidRPr="0083357F">
        <w:rPr>
          <w:rFonts w:cs="Arial"/>
          <w:lang w:val="de-DE"/>
        </w:rPr>
        <w:t xml:space="preserve">Im Finanzierungshaushalt stehen Einzahlungen von </w:t>
      </w:r>
      <w:r w:rsidR="0066213A" w:rsidRPr="0066213A">
        <w:rPr>
          <w:rFonts w:cs="Arial"/>
          <w:lang w:val="de-DE"/>
        </w:rPr>
        <w:t xml:space="preserve">8.058.300,00 </w:t>
      </w:r>
      <w:r w:rsidRPr="0083357F">
        <w:rPr>
          <w:rFonts w:cs="Arial"/>
          <w:lang w:val="de-DE"/>
        </w:rPr>
        <w:t xml:space="preserve">(2020: 8.396.600,00) Auszahlungen von </w:t>
      </w:r>
      <w:r w:rsidR="0066213A" w:rsidRPr="0066213A">
        <w:rPr>
          <w:rFonts w:cs="Arial"/>
          <w:lang w:val="de-DE"/>
        </w:rPr>
        <w:t xml:space="preserve">8.041.300,00 </w:t>
      </w:r>
      <w:r w:rsidRPr="0083357F">
        <w:rPr>
          <w:rFonts w:cs="Arial"/>
          <w:lang w:val="de-DE"/>
        </w:rPr>
        <w:t xml:space="preserve">(2020: 7.986.800,00) gegenüber, was einen Geldfluss aus der operativen Gebarung von </w:t>
      </w:r>
      <w:r w:rsidR="0066213A" w:rsidRPr="0066213A">
        <w:rPr>
          <w:rFonts w:cs="Arial"/>
          <w:lang w:val="de-DE"/>
        </w:rPr>
        <w:t>17.000,00</w:t>
      </w:r>
      <w:r w:rsidRPr="0083357F">
        <w:rPr>
          <w:rFonts w:cs="Arial"/>
          <w:lang w:val="de-DE"/>
        </w:rPr>
        <w:t xml:space="preserve"> (2020: 409.800,00) ergibt.</w:t>
      </w:r>
    </w:p>
    <w:p w14:paraId="3B5C46EF" w14:textId="4A66D256" w:rsidR="002768E0" w:rsidRPr="0083357F" w:rsidRDefault="002768E0" w:rsidP="002768E0">
      <w:pPr>
        <w:pStyle w:val="ListParagraph"/>
        <w:numPr>
          <w:ilvl w:val="0"/>
          <w:numId w:val="11"/>
        </w:numPr>
        <w:rPr>
          <w:rFonts w:cs="Arial"/>
          <w:lang w:val="de-DE"/>
        </w:rPr>
      </w:pPr>
      <w:r w:rsidRPr="0083357F">
        <w:rPr>
          <w:rFonts w:cs="Arial"/>
          <w:lang w:val="de-DE"/>
        </w:rPr>
        <w:t>Es sind Investitionen von 800.300,00 (2020: 605.300,00) geplant (Details dazu weiter unten).</w:t>
      </w:r>
    </w:p>
    <w:p w14:paraId="77E1618A" w14:textId="1DBD9F40" w:rsidR="002768E0" w:rsidRPr="0083357F" w:rsidRDefault="002768E0" w:rsidP="002768E0">
      <w:pPr>
        <w:pStyle w:val="ListParagraph"/>
        <w:numPr>
          <w:ilvl w:val="0"/>
          <w:numId w:val="11"/>
        </w:numPr>
        <w:rPr>
          <w:rFonts w:cs="Arial"/>
          <w:lang w:val="de-DE"/>
        </w:rPr>
      </w:pPr>
      <w:r w:rsidRPr="0083357F">
        <w:rPr>
          <w:rFonts w:cs="Arial"/>
          <w:lang w:val="de-DE"/>
        </w:rPr>
        <w:t>Dafür wird ein neuer Kredit von 300.000,00 aufgenommen.</w:t>
      </w:r>
    </w:p>
    <w:p w14:paraId="0E930ACF" w14:textId="57F49512" w:rsidR="002768E0" w:rsidRPr="0083357F" w:rsidRDefault="00BD1598" w:rsidP="002768E0">
      <w:pPr>
        <w:pStyle w:val="ListParagraph"/>
        <w:numPr>
          <w:ilvl w:val="0"/>
          <w:numId w:val="11"/>
        </w:numPr>
        <w:rPr>
          <w:rFonts w:cs="Arial"/>
          <w:lang w:val="de-DE"/>
        </w:rPr>
      </w:pPr>
      <w:r w:rsidRPr="0083357F">
        <w:rPr>
          <w:rFonts w:cs="Arial"/>
          <w:lang w:val="de-DE"/>
        </w:rPr>
        <w:t>Für die Tilgung der Schulden werden 985.000,00 (2020: 937.300,00) aufgewendet.</w:t>
      </w:r>
    </w:p>
    <w:p w14:paraId="5D07C9D9" w14:textId="58F0815F" w:rsidR="00BD1598" w:rsidRPr="0083357F" w:rsidRDefault="00BD1598" w:rsidP="002768E0">
      <w:pPr>
        <w:pStyle w:val="ListParagraph"/>
        <w:numPr>
          <w:ilvl w:val="0"/>
          <w:numId w:val="11"/>
        </w:numPr>
        <w:rPr>
          <w:rFonts w:cs="Arial"/>
          <w:lang w:val="de-DE"/>
        </w:rPr>
      </w:pPr>
      <w:r w:rsidRPr="0083357F">
        <w:rPr>
          <w:rFonts w:cs="Arial"/>
          <w:lang w:val="de-DE"/>
        </w:rPr>
        <w:t>Es werden Investitions- und Tilgungszuschüsse von 834.500,00 (2020: 542.900,00) veranschlagt aber kein Verkauf von Vermögen (im VA 2020: 400.000,00 für einen Grundstücksverkauf, der aber nicht realisiert wurde).</w:t>
      </w:r>
    </w:p>
    <w:p w14:paraId="4320FAE4" w14:textId="3AA072E0" w:rsidR="00BD1598" w:rsidRPr="0083357F" w:rsidRDefault="00BD1598" w:rsidP="002768E0">
      <w:pPr>
        <w:pStyle w:val="ListParagraph"/>
        <w:numPr>
          <w:ilvl w:val="0"/>
          <w:numId w:val="11"/>
        </w:numPr>
        <w:rPr>
          <w:rFonts w:cs="Arial"/>
          <w:lang w:val="de-DE"/>
        </w:rPr>
      </w:pPr>
      <w:r w:rsidRPr="0083357F">
        <w:rPr>
          <w:rFonts w:cs="Arial"/>
          <w:lang w:val="de-DE"/>
        </w:rPr>
        <w:t xml:space="preserve">In Summe ergibt sich ein negativer Geldfluss von </w:t>
      </w:r>
      <w:r w:rsidR="0066213A">
        <w:rPr>
          <w:rFonts w:cs="Arial"/>
          <w:lang w:val="de-DE"/>
        </w:rPr>
        <w:t>-</w:t>
      </w:r>
      <w:r w:rsidR="0066213A" w:rsidRPr="0066213A">
        <w:rPr>
          <w:rFonts w:cs="Arial"/>
          <w:lang w:val="de-DE"/>
        </w:rPr>
        <w:t>65</w:t>
      </w:r>
      <w:r w:rsidR="00993353">
        <w:rPr>
          <w:rFonts w:cs="Arial"/>
          <w:lang w:val="de-DE"/>
        </w:rPr>
        <w:t>7</w:t>
      </w:r>
      <w:bookmarkStart w:id="0" w:name="_GoBack"/>
      <w:bookmarkEnd w:id="0"/>
      <w:r w:rsidR="0066213A" w:rsidRPr="0066213A">
        <w:rPr>
          <w:rFonts w:cs="Arial"/>
          <w:lang w:val="de-DE"/>
        </w:rPr>
        <w:t>.900,00</w:t>
      </w:r>
      <w:r w:rsidRPr="0083357F">
        <w:rPr>
          <w:rFonts w:cs="Arial"/>
          <w:lang w:val="de-DE"/>
        </w:rPr>
        <w:t xml:space="preserve"> (2020: -420.000,00), der zusammen aus den liquiden Mittel abgedeckt werden muss.</w:t>
      </w:r>
    </w:p>
    <w:p w14:paraId="68FA2B80" w14:textId="70C914F4" w:rsidR="00260F24" w:rsidRPr="0083357F" w:rsidRDefault="00260F24" w:rsidP="00260F24">
      <w:pPr>
        <w:rPr>
          <w:rFonts w:cs="Arial"/>
          <w:lang w:val="de-DE"/>
        </w:rPr>
      </w:pPr>
    </w:p>
    <w:p w14:paraId="6D35D298" w14:textId="6A7F216D" w:rsidR="00260F24" w:rsidRPr="0083357F" w:rsidRDefault="00260F24" w:rsidP="00260F24">
      <w:pPr>
        <w:rPr>
          <w:rFonts w:cs="Arial"/>
          <w:lang w:val="de-DE"/>
        </w:rPr>
      </w:pPr>
      <w:r w:rsidRPr="0083357F">
        <w:rPr>
          <w:rFonts w:cs="Arial"/>
          <w:lang w:val="de-DE"/>
        </w:rPr>
        <w:lastRenderedPageBreak/>
        <w:t>Bemerkungen:</w:t>
      </w:r>
    </w:p>
    <w:p w14:paraId="2A32519A" w14:textId="6A0F2306" w:rsidR="003C36D3" w:rsidRPr="0083357F" w:rsidRDefault="003C36D3" w:rsidP="003C36D3">
      <w:pPr>
        <w:rPr>
          <w:rFonts w:cs="Arial"/>
          <w:lang w:val="de-DE"/>
        </w:rPr>
      </w:pPr>
      <w:r w:rsidRPr="0083357F">
        <w:rPr>
          <w:rFonts w:cs="Arial"/>
          <w:lang w:val="de-DE"/>
        </w:rPr>
        <w:t xml:space="preserve">Ein negatives Nettoergebnis ergibt keinen nachhaltig geordneten Haushalt, da langfristig auf Kosten zukünftiger Generationen gewirtschaftet wird und der finanzielle Spielraum zukünftiger Generationen eingeschränkt wird (das Nettovermögen wird jedes Jahr kleiner, d.h. die Gemeinde wird „ärmer“). Laut Artikel 13 (2) des Bundes-Verfassungsgesetzes sind die Gemeinden </w:t>
      </w:r>
      <w:r w:rsidR="00995C35" w:rsidRPr="0083357F">
        <w:rPr>
          <w:rFonts w:cs="Arial"/>
          <w:lang w:val="de-DE"/>
        </w:rPr>
        <w:t xml:space="preserve">aber </w:t>
      </w:r>
      <w:r w:rsidRPr="0083357F">
        <w:rPr>
          <w:rFonts w:cs="Arial"/>
          <w:lang w:val="de-DE"/>
        </w:rPr>
        <w:t xml:space="preserve">verpflichtet </w:t>
      </w:r>
      <w:r w:rsidR="00EC0605">
        <w:rPr>
          <w:rFonts w:cs="Arial"/>
          <w:lang w:val="de-DE"/>
        </w:rPr>
        <w:t xml:space="preserve">einen </w:t>
      </w:r>
      <w:r w:rsidRPr="0083357F">
        <w:rPr>
          <w:rFonts w:cs="Arial"/>
          <w:lang w:val="de-DE"/>
        </w:rPr>
        <w:t>nachhaltig geordneten Haushalte anzustreben.</w:t>
      </w:r>
    </w:p>
    <w:p w14:paraId="1C7B530B" w14:textId="77777777" w:rsidR="00175940" w:rsidRPr="0083357F" w:rsidRDefault="00175940" w:rsidP="003C36D3">
      <w:pPr>
        <w:rPr>
          <w:rFonts w:cs="Arial"/>
          <w:lang w:val="de-DE"/>
        </w:rPr>
      </w:pPr>
    </w:p>
    <w:p w14:paraId="3DEF6DEC" w14:textId="7706D278" w:rsidR="00995C35" w:rsidRPr="0083357F" w:rsidRDefault="00995C35" w:rsidP="003C36D3">
      <w:pPr>
        <w:rPr>
          <w:rFonts w:cs="Arial"/>
          <w:lang w:val="de-DE"/>
        </w:rPr>
      </w:pPr>
      <w:r w:rsidRPr="0083357F">
        <w:rPr>
          <w:rFonts w:cs="Arial"/>
          <w:lang w:val="de-DE"/>
        </w:rPr>
        <w:t>Eine „Ursache“ für das schlechte Nettoergebnis sind die hohen planmäßigen Abschreibungen (438.500,00 für die Mittelschule</w:t>
      </w:r>
      <w:r w:rsidRPr="0083357F">
        <w:rPr>
          <w:rStyle w:val="FootnoteReference"/>
          <w:rFonts w:cs="Arial"/>
          <w:lang w:val="de-DE"/>
        </w:rPr>
        <w:footnoteReference w:id="2"/>
      </w:r>
      <w:r w:rsidRPr="0083357F">
        <w:rPr>
          <w:rFonts w:cs="Arial"/>
          <w:lang w:val="de-DE"/>
        </w:rPr>
        <w:t>, 417.300,00 für Gemeindestraßen, 346.000,00 für Kanal, 142.400,00 für Wasserversorgung, … in Summe 1.568.000,00), die erstmals mit der VRV 2015 ersichtlich sind.</w:t>
      </w:r>
    </w:p>
    <w:p w14:paraId="07078ABE" w14:textId="47624236" w:rsidR="00995C35" w:rsidRPr="0083357F" w:rsidRDefault="00995C35" w:rsidP="003C36D3">
      <w:pPr>
        <w:rPr>
          <w:rFonts w:cs="Arial"/>
          <w:lang w:val="de-DE"/>
        </w:rPr>
      </w:pPr>
    </w:p>
    <w:p w14:paraId="1F92EB62" w14:textId="3D736971" w:rsidR="00995C35" w:rsidRPr="0083357F" w:rsidRDefault="00BB4D8F" w:rsidP="003C36D3">
      <w:pPr>
        <w:rPr>
          <w:rFonts w:cs="Arial"/>
          <w:lang w:val="de-DE"/>
        </w:rPr>
      </w:pPr>
      <w:r w:rsidRPr="0083357F">
        <w:rPr>
          <w:rFonts w:cs="Arial"/>
          <w:lang w:val="de-DE"/>
        </w:rPr>
        <w:t>Zudem sind die neuen Budgetvoranschläge eher „pessimistisch“ angesetzt (hohe Ausgaben und geringe Einnahmenpositionen), was für den Rechnungsabschluss deutlich bessere Zahlen erwarten lässt. 2020 wurde wegen Corona deutlich unter Plan gewirtschaftet. Ein vorsichtiger Budgetvoranschlag erleichtert die Haushaltsführung, weil keine Nachtragsvoranschläge wegen überplanmäß</w:t>
      </w:r>
      <w:r w:rsidR="00343E60" w:rsidRPr="0083357F">
        <w:rPr>
          <w:rFonts w:cs="Arial"/>
          <w:lang w:val="de-DE"/>
        </w:rPr>
        <w:t>igen Mittelverwendungen notwendig sind</w:t>
      </w:r>
      <w:r w:rsidR="00343E60" w:rsidRPr="0083357F">
        <w:rPr>
          <w:rStyle w:val="FootnoteReference"/>
          <w:rFonts w:cs="Arial"/>
          <w:lang w:val="de-DE"/>
        </w:rPr>
        <w:footnoteReference w:id="3"/>
      </w:r>
      <w:r w:rsidR="00343E60" w:rsidRPr="0083357F">
        <w:rPr>
          <w:rFonts w:cs="Arial"/>
          <w:lang w:val="de-DE"/>
        </w:rPr>
        <w:t>.</w:t>
      </w:r>
      <w:r w:rsidR="00915D78" w:rsidRPr="0083357F">
        <w:rPr>
          <w:rFonts w:cs="Arial"/>
          <w:lang w:val="de-DE"/>
        </w:rPr>
        <w:t xml:space="preserve"> Eine wirklich realistischer Voranschlag ist ohne ersten Rechnungsabschluss nach VRV 2015 schwierig.</w:t>
      </w:r>
    </w:p>
    <w:p w14:paraId="6A6AFBBA" w14:textId="254805A2" w:rsidR="00BB4D8F" w:rsidRPr="0083357F" w:rsidRDefault="00BB4D8F" w:rsidP="003C36D3">
      <w:pPr>
        <w:rPr>
          <w:rFonts w:cs="Arial"/>
          <w:lang w:val="de-DE"/>
        </w:rPr>
      </w:pPr>
    </w:p>
    <w:p w14:paraId="754B9C64" w14:textId="49F470E7" w:rsidR="00260F24" w:rsidRPr="0083357F" w:rsidRDefault="00343E60" w:rsidP="00260F24">
      <w:pPr>
        <w:rPr>
          <w:rFonts w:cs="Arial"/>
          <w:lang w:val="de-DE"/>
        </w:rPr>
      </w:pPr>
      <w:r w:rsidRPr="0083357F">
        <w:rPr>
          <w:rFonts w:cs="Arial"/>
          <w:lang w:val="de-DE"/>
        </w:rPr>
        <w:t xml:space="preserve">Der </w:t>
      </w:r>
      <w:r w:rsidR="00260F24" w:rsidRPr="0083357F">
        <w:rPr>
          <w:rFonts w:cs="Arial"/>
          <w:lang w:val="de-DE"/>
        </w:rPr>
        <w:t xml:space="preserve">Geldfluss aus der operativen Gebarung sollte </w:t>
      </w:r>
      <w:r w:rsidRPr="0083357F">
        <w:rPr>
          <w:rFonts w:cs="Arial"/>
          <w:lang w:val="de-DE"/>
        </w:rPr>
        <w:t xml:space="preserve">eigentlich </w:t>
      </w:r>
      <w:r w:rsidR="00260F24" w:rsidRPr="0083357F">
        <w:rPr>
          <w:rFonts w:cs="Arial"/>
          <w:lang w:val="de-DE"/>
        </w:rPr>
        <w:t>für die Schuldentilgung (abzüglich der Tilgungszuschüsse) ausreichen.</w:t>
      </w:r>
      <w:r w:rsidRPr="0083357F">
        <w:rPr>
          <w:rFonts w:cs="Arial"/>
          <w:lang w:val="de-DE"/>
        </w:rPr>
        <w:t xml:space="preserve"> Die Gemeinde Klaus hat in den Jahren vor der Umstellung auf die VRV 2015 große liquide Reserven aufgebaut, die</w:t>
      </w:r>
      <w:r w:rsidR="00F73806" w:rsidRPr="0083357F">
        <w:rPr>
          <w:rFonts w:cs="Arial"/>
          <w:lang w:val="de-DE"/>
        </w:rPr>
        <w:t xml:space="preserve"> laut Voranschlag</w:t>
      </w:r>
      <w:r w:rsidRPr="0083357F">
        <w:rPr>
          <w:rFonts w:cs="Arial"/>
          <w:lang w:val="de-DE"/>
        </w:rPr>
        <w:t xml:space="preserve"> aber in den Jahren 2020 und 2021 zu einem Großteil aufgebraucht werden.</w:t>
      </w:r>
      <w:r w:rsidR="00F73806" w:rsidRPr="0083357F">
        <w:rPr>
          <w:rFonts w:cs="Arial"/>
          <w:lang w:val="de-DE"/>
        </w:rPr>
        <w:t xml:space="preserve"> Für 2020 wurden allerdings keine liquiden Reserven verbraucht.</w:t>
      </w:r>
      <w:r w:rsidR="00F73806" w:rsidRPr="0083357F">
        <w:rPr>
          <w:rStyle w:val="FootnoteReference"/>
          <w:rFonts w:cs="Arial"/>
          <w:lang w:val="de-DE"/>
        </w:rPr>
        <w:footnoteReference w:id="4"/>
      </w:r>
    </w:p>
    <w:p w14:paraId="50F383D0" w14:textId="0372678A" w:rsidR="00F93A3D" w:rsidRPr="0083357F" w:rsidRDefault="00F93A3D" w:rsidP="00260F24">
      <w:pPr>
        <w:pStyle w:val="Heading2"/>
        <w:numPr>
          <w:ilvl w:val="0"/>
          <w:numId w:val="0"/>
        </w:numPr>
        <w:rPr>
          <w:rFonts w:cs="Arial"/>
          <w:sz w:val="20"/>
          <w:lang w:val="de-DE"/>
        </w:rPr>
      </w:pPr>
      <w:r w:rsidRPr="0083357F">
        <w:rPr>
          <w:rFonts w:cs="Arial"/>
          <w:sz w:val="20"/>
          <w:lang w:val="de-DE"/>
        </w:rPr>
        <w:t>Erträge für 2021</w:t>
      </w:r>
    </w:p>
    <w:p w14:paraId="56FAD00E" w14:textId="18994554" w:rsidR="00F93A3D" w:rsidRPr="0083357F" w:rsidRDefault="00E56755" w:rsidP="00F93A3D">
      <w:pPr>
        <w:rPr>
          <w:rFonts w:cs="Arial"/>
          <w:lang w:val="de-DE"/>
        </w:rPr>
      </w:pPr>
      <w:r w:rsidRPr="0083357F">
        <w:rPr>
          <w:rFonts w:cs="Arial"/>
          <w:lang w:val="de-DE"/>
        </w:rPr>
        <w:t>Die Erträge</w:t>
      </w:r>
      <w:r w:rsidR="0018085C" w:rsidRPr="0083357F">
        <w:rPr>
          <w:rStyle w:val="FootnoteReference"/>
          <w:rFonts w:cs="Arial"/>
          <w:lang w:val="de-DE"/>
        </w:rPr>
        <w:footnoteReference w:id="5"/>
      </w:r>
      <w:r w:rsidRPr="0083357F">
        <w:rPr>
          <w:rFonts w:cs="Arial"/>
          <w:lang w:val="de-DE"/>
        </w:rPr>
        <w:t xml:space="preserve"> ergeben sich</w:t>
      </w:r>
      <w:r w:rsidR="00D518AB" w:rsidRPr="0083357F">
        <w:rPr>
          <w:rFonts w:cs="Arial"/>
          <w:lang w:val="de-DE"/>
        </w:rPr>
        <w:t xml:space="preserve"> neben Gebühren und Leistungen</w:t>
      </w:r>
      <w:r w:rsidR="00343E60" w:rsidRPr="0083357F">
        <w:rPr>
          <w:rFonts w:cs="Arial"/>
          <w:lang w:val="de-DE"/>
        </w:rPr>
        <w:t xml:space="preserve"> (Details dazu weiter unten)</w:t>
      </w:r>
      <w:r w:rsidRPr="0083357F">
        <w:rPr>
          <w:rFonts w:cs="Arial"/>
          <w:lang w:val="de-DE"/>
        </w:rPr>
        <w:t xml:space="preserve"> hauptsächlich aus Ertragsanteilen und eigenen Abgaben (Gruppe 92 Öffentliche Abgaben)</w:t>
      </w:r>
      <w:r w:rsidR="00D518AB" w:rsidRPr="0083357F">
        <w:rPr>
          <w:rFonts w:cs="Arial"/>
          <w:lang w:val="de-DE"/>
        </w:rPr>
        <w:t>:</w:t>
      </w:r>
    </w:p>
    <w:p w14:paraId="4ED96654" w14:textId="77777777" w:rsidR="00F93A3D" w:rsidRPr="0083357F" w:rsidRDefault="00F93A3D" w:rsidP="00F93A3D">
      <w:pPr>
        <w:rPr>
          <w:rFonts w:cs="Arial"/>
          <w:lang w:val="de-DE"/>
        </w:rPr>
      </w:pPr>
    </w:p>
    <w:p w14:paraId="32AF0DEE" w14:textId="4B6F28B4" w:rsidR="00F93A3D" w:rsidRPr="0083357F" w:rsidRDefault="00247EA2" w:rsidP="00F93A3D">
      <w:pPr>
        <w:pStyle w:val="ListParagraph"/>
        <w:numPr>
          <w:ilvl w:val="0"/>
          <w:numId w:val="15"/>
        </w:numPr>
        <w:rPr>
          <w:rFonts w:cs="Arial"/>
          <w:lang w:val="de-DE"/>
        </w:rPr>
      </w:pPr>
      <w:r w:rsidRPr="0083357F">
        <w:rPr>
          <w:rFonts w:cs="Arial"/>
          <w:lang w:val="de-DE"/>
        </w:rPr>
        <w:t>2/9250+85980 Ertragsanteile gemäß FAG €2.673.600,00 (2020: €3.061.500,00)</w:t>
      </w:r>
    </w:p>
    <w:p w14:paraId="02796D97" w14:textId="23D609DD" w:rsidR="00247EA2" w:rsidRPr="0083357F" w:rsidRDefault="00247EA2" w:rsidP="00F93A3D">
      <w:pPr>
        <w:pStyle w:val="ListParagraph"/>
        <w:numPr>
          <w:ilvl w:val="0"/>
          <w:numId w:val="15"/>
        </w:numPr>
        <w:rPr>
          <w:rFonts w:cs="Arial"/>
          <w:lang w:val="de-DE"/>
        </w:rPr>
      </w:pPr>
      <w:r w:rsidRPr="0083357F">
        <w:rPr>
          <w:rFonts w:cs="Arial"/>
          <w:lang w:val="de-DE"/>
        </w:rPr>
        <w:t>2/9200+83300 Kommunalsteuer €2.4</w:t>
      </w:r>
      <w:r w:rsidR="0066213A">
        <w:rPr>
          <w:rFonts w:cs="Arial"/>
          <w:lang w:val="de-DE"/>
        </w:rPr>
        <w:t>7</w:t>
      </w:r>
      <w:r w:rsidRPr="0083357F">
        <w:rPr>
          <w:rFonts w:cs="Arial"/>
          <w:lang w:val="de-DE"/>
        </w:rPr>
        <w:t>0.000,00 (2020: €2.578.700,00)</w:t>
      </w:r>
    </w:p>
    <w:p w14:paraId="64FE4CE3" w14:textId="282B7F21" w:rsidR="00247EA2" w:rsidRPr="0083357F" w:rsidRDefault="00247EA2" w:rsidP="00F93A3D">
      <w:pPr>
        <w:pStyle w:val="ListParagraph"/>
        <w:numPr>
          <w:ilvl w:val="0"/>
          <w:numId w:val="15"/>
        </w:numPr>
        <w:rPr>
          <w:rFonts w:cs="Arial"/>
          <w:lang w:val="de-DE"/>
        </w:rPr>
      </w:pPr>
      <w:r w:rsidRPr="0083357F">
        <w:rPr>
          <w:rFonts w:cs="Arial"/>
          <w:lang w:val="de-DE"/>
        </w:rPr>
        <w:t>2/9200+83100 Grundsteuer</w:t>
      </w:r>
      <w:r w:rsidR="00E56755" w:rsidRPr="0083357F">
        <w:rPr>
          <w:rFonts w:cs="Arial"/>
          <w:lang w:val="de-DE"/>
        </w:rPr>
        <w:t xml:space="preserve"> €300.200,00 (2020: €300.200,00)</w:t>
      </w:r>
    </w:p>
    <w:p w14:paraId="27B8DC06" w14:textId="612F9786" w:rsidR="00D518AB" w:rsidRPr="0083357F" w:rsidRDefault="00D518AB" w:rsidP="00F93A3D">
      <w:pPr>
        <w:pStyle w:val="ListParagraph"/>
        <w:numPr>
          <w:ilvl w:val="0"/>
          <w:numId w:val="15"/>
        </w:numPr>
        <w:rPr>
          <w:rFonts w:cs="Arial"/>
          <w:lang w:val="de-DE"/>
        </w:rPr>
      </w:pPr>
      <w:r w:rsidRPr="0083357F">
        <w:rPr>
          <w:rFonts w:cs="Arial"/>
          <w:lang w:val="de-DE"/>
        </w:rPr>
        <w:t>Hundesteuer, Gästetaxe und Verwaltungsabhaben sind nur kleine</w:t>
      </w:r>
      <w:r w:rsidR="00343E60" w:rsidRPr="0083357F">
        <w:rPr>
          <w:rFonts w:cs="Arial"/>
          <w:lang w:val="de-DE"/>
        </w:rPr>
        <w:t>re</w:t>
      </w:r>
      <w:r w:rsidRPr="0083357F">
        <w:rPr>
          <w:rFonts w:cs="Arial"/>
          <w:lang w:val="de-DE"/>
        </w:rPr>
        <w:t xml:space="preserve"> Positionen</w:t>
      </w:r>
    </w:p>
    <w:p w14:paraId="6F6A1668" w14:textId="3A7B2644" w:rsidR="00D518AB" w:rsidRPr="0083357F" w:rsidRDefault="00D518AB" w:rsidP="00D518AB">
      <w:pPr>
        <w:rPr>
          <w:rFonts w:cs="Arial"/>
          <w:lang w:val="de-DE"/>
        </w:rPr>
      </w:pPr>
    </w:p>
    <w:p w14:paraId="2177C3CA" w14:textId="2A4CDD0F" w:rsidR="00D518AB" w:rsidRPr="0083357F" w:rsidRDefault="00D518AB" w:rsidP="00D518AB">
      <w:pPr>
        <w:rPr>
          <w:rFonts w:cs="Arial"/>
          <w:lang w:val="de-DE" w:eastAsia="en-GB"/>
        </w:rPr>
      </w:pPr>
      <w:r w:rsidRPr="0083357F">
        <w:rPr>
          <w:rFonts w:cs="Arial"/>
          <w:lang w:val="de-DE"/>
        </w:rPr>
        <w:t>Es wird mit einem deutlichen Rückgang der Ertragsanteile gerechnet (wegen Corona). Aber die Kommunalsteuer wird nur leicht rückläufig angesetzt, was sich im laufenden Jahr 2020 schon bestätigt hat</w:t>
      </w:r>
      <w:r w:rsidR="00A71106" w:rsidRPr="0083357F">
        <w:rPr>
          <w:rFonts w:cs="Arial"/>
          <w:lang w:val="de-DE"/>
        </w:rPr>
        <w:t xml:space="preserve"> </w:t>
      </w:r>
      <w:r w:rsidR="000B0D0D" w:rsidRPr="0083357F">
        <w:rPr>
          <w:rFonts w:cs="Arial"/>
          <w:lang w:val="de-DE"/>
        </w:rPr>
        <w:t>(</w:t>
      </w:r>
      <w:r w:rsidR="000B0D0D" w:rsidRPr="0083357F">
        <w:rPr>
          <w:rFonts w:cs="Arial"/>
          <w:lang w:val="de-DE" w:eastAsia="en-GB"/>
        </w:rPr>
        <w:t>€2.501.704,31)</w:t>
      </w:r>
      <w:r w:rsidRPr="0083357F">
        <w:rPr>
          <w:rFonts w:cs="Arial"/>
          <w:lang w:val="de-DE"/>
        </w:rPr>
        <w:t>.</w:t>
      </w:r>
    </w:p>
    <w:p w14:paraId="56F7053F" w14:textId="2B0BBB50" w:rsidR="00620403" w:rsidRPr="0083357F" w:rsidRDefault="00620403" w:rsidP="00260F24">
      <w:pPr>
        <w:pStyle w:val="Heading2"/>
        <w:numPr>
          <w:ilvl w:val="0"/>
          <w:numId w:val="0"/>
        </w:numPr>
        <w:rPr>
          <w:rFonts w:cs="Arial"/>
          <w:sz w:val="20"/>
          <w:lang w:val="de-DE"/>
        </w:rPr>
      </w:pPr>
      <w:r w:rsidRPr="0083357F">
        <w:rPr>
          <w:rFonts w:cs="Arial"/>
          <w:sz w:val="20"/>
          <w:lang w:val="de-DE"/>
        </w:rPr>
        <w:t>Aufwände für 2021</w:t>
      </w:r>
    </w:p>
    <w:p w14:paraId="7943F499" w14:textId="35E530EC" w:rsidR="00337300" w:rsidRPr="0083357F" w:rsidRDefault="00337300" w:rsidP="00337300">
      <w:pPr>
        <w:rPr>
          <w:rFonts w:cs="Arial"/>
          <w:lang w:val="de-DE"/>
        </w:rPr>
      </w:pPr>
      <w:r w:rsidRPr="0083357F">
        <w:rPr>
          <w:rFonts w:cs="Arial"/>
          <w:lang w:val="de-DE"/>
        </w:rPr>
        <w:t>Die größten Aufwände</w:t>
      </w:r>
      <w:r w:rsidR="0018085C" w:rsidRPr="0083357F">
        <w:rPr>
          <w:rStyle w:val="FootnoteReference"/>
          <w:rFonts w:cs="Arial"/>
          <w:lang w:val="de-DE"/>
        </w:rPr>
        <w:footnoteReference w:id="6"/>
      </w:r>
      <w:r w:rsidRPr="0083357F">
        <w:rPr>
          <w:rFonts w:cs="Arial"/>
          <w:lang w:val="de-DE"/>
        </w:rPr>
        <w:t xml:space="preserve"> im Budget sind wi</w:t>
      </w:r>
      <w:r w:rsidR="00175940" w:rsidRPr="0083357F">
        <w:rPr>
          <w:rFonts w:cs="Arial"/>
          <w:lang w:val="de-DE"/>
        </w:rPr>
        <w:t>e</w:t>
      </w:r>
      <w:r w:rsidRPr="0083357F">
        <w:rPr>
          <w:rFonts w:cs="Arial"/>
          <w:lang w:val="de-DE"/>
        </w:rPr>
        <w:t xml:space="preserve"> folgt:</w:t>
      </w:r>
    </w:p>
    <w:p w14:paraId="5E0AB830" w14:textId="77777777" w:rsidR="00337300" w:rsidRPr="0083357F" w:rsidRDefault="00337300" w:rsidP="00337300">
      <w:pPr>
        <w:rPr>
          <w:rFonts w:cs="Arial"/>
          <w:lang w:val="de-DE"/>
        </w:rPr>
      </w:pPr>
    </w:p>
    <w:p w14:paraId="6DA27B3C" w14:textId="47B9D202" w:rsidR="00B40CD2" w:rsidRPr="0083357F" w:rsidRDefault="00B40CD2" w:rsidP="00175940">
      <w:pPr>
        <w:pStyle w:val="ListParagraph"/>
        <w:numPr>
          <w:ilvl w:val="0"/>
          <w:numId w:val="21"/>
        </w:numPr>
        <w:rPr>
          <w:rFonts w:cs="Arial"/>
          <w:lang w:val="de-DE" w:eastAsia="en-GB"/>
        </w:rPr>
      </w:pPr>
      <w:r w:rsidRPr="0083357F">
        <w:rPr>
          <w:rFonts w:cs="Arial"/>
          <w:lang w:val="de-DE" w:eastAsia="en-GB"/>
        </w:rPr>
        <w:t xml:space="preserve">Geldbezüge der Gemeindebediensteten (Personalkosten) in Summe </w:t>
      </w:r>
      <w:r w:rsidR="0066213A" w:rsidRPr="0066213A">
        <w:rPr>
          <w:rFonts w:cs="Arial"/>
          <w:lang w:val="de-DE" w:eastAsia="en-GB"/>
        </w:rPr>
        <w:t xml:space="preserve">1.467.600,0 </w:t>
      </w:r>
      <w:r w:rsidRPr="0083357F">
        <w:rPr>
          <w:rFonts w:cs="Arial"/>
          <w:lang w:val="de-DE" w:eastAsia="en-GB"/>
        </w:rPr>
        <w:t xml:space="preserve">(2020: </w:t>
      </w:r>
      <w:r w:rsidR="0066213A" w:rsidRPr="0066213A">
        <w:rPr>
          <w:rFonts w:cs="Arial"/>
          <w:lang w:val="de-DE" w:eastAsia="en-GB"/>
        </w:rPr>
        <w:t>1.517.800,00</w:t>
      </w:r>
      <w:r w:rsidRPr="0083357F">
        <w:rPr>
          <w:rFonts w:cs="Arial"/>
          <w:lang w:val="de-DE" w:eastAsia="en-GB"/>
        </w:rPr>
        <w:t>) im Budget verteilt auf Kindergarten, Kinderbetreuung, Gemeindeamt, Gemeindestraßen, Mittelschule, Bauamt, Volksschule, …</w:t>
      </w:r>
      <w:r w:rsidR="000B0D0D" w:rsidRPr="0083357F">
        <w:rPr>
          <w:rStyle w:val="FootnoteReference"/>
          <w:rFonts w:cs="Arial"/>
          <w:lang w:val="de-DE" w:eastAsia="en-GB"/>
        </w:rPr>
        <w:footnoteReference w:id="7"/>
      </w:r>
    </w:p>
    <w:p w14:paraId="24314E89" w14:textId="4260EE12" w:rsidR="00620403" w:rsidRPr="0083357F" w:rsidRDefault="00620403" w:rsidP="00175940">
      <w:pPr>
        <w:pStyle w:val="ListParagraph"/>
        <w:numPr>
          <w:ilvl w:val="0"/>
          <w:numId w:val="21"/>
        </w:numPr>
        <w:rPr>
          <w:rFonts w:cs="Arial"/>
          <w:lang w:val="de-DE" w:eastAsia="en-GB"/>
        </w:rPr>
      </w:pPr>
      <w:r w:rsidRPr="0083357F">
        <w:rPr>
          <w:rFonts w:cs="Arial"/>
          <w:lang w:val="de-DE" w:eastAsia="en-GB"/>
        </w:rPr>
        <w:t xml:space="preserve">1/4110-75100 Transfers an Länder, Landesfonds und Landeskammern (Sozialfonds) </w:t>
      </w:r>
      <w:r w:rsidR="00B40CD2" w:rsidRPr="0083357F">
        <w:rPr>
          <w:rFonts w:cs="Arial"/>
          <w:lang w:val="de-DE" w:eastAsia="en-GB"/>
        </w:rPr>
        <w:t>1.062.800,00 (2020: 1.061.600,00)</w:t>
      </w:r>
    </w:p>
    <w:p w14:paraId="1B9A02AE" w14:textId="1163A28B" w:rsidR="00B40CD2" w:rsidRPr="0083357F" w:rsidRDefault="00B40CD2" w:rsidP="00175940">
      <w:pPr>
        <w:pStyle w:val="ListParagraph"/>
        <w:numPr>
          <w:ilvl w:val="0"/>
          <w:numId w:val="21"/>
        </w:numPr>
        <w:rPr>
          <w:rFonts w:cs="Arial"/>
          <w:lang w:val="de-DE" w:eastAsia="en-GB"/>
        </w:rPr>
      </w:pPr>
      <w:r w:rsidRPr="0083357F">
        <w:rPr>
          <w:rFonts w:cs="Arial"/>
          <w:lang w:val="de-DE" w:eastAsia="en-GB"/>
        </w:rPr>
        <w:lastRenderedPageBreak/>
        <w:t xml:space="preserve">Investitionsdarlehen von Finanzunternehmen (Schuldentilgung) in Summe </w:t>
      </w:r>
      <w:r w:rsidR="00E05C71" w:rsidRPr="0083357F">
        <w:rPr>
          <w:rFonts w:cs="Arial"/>
          <w:lang w:val="de-DE" w:eastAsia="en-GB"/>
        </w:rPr>
        <w:t>98</w:t>
      </w:r>
      <w:r w:rsidR="005A1296">
        <w:rPr>
          <w:rFonts w:cs="Arial"/>
          <w:lang w:val="de-DE" w:eastAsia="en-GB"/>
        </w:rPr>
        <w:t>5</w:t>
      </w:r>
      <w:r w:rsidR="00E05C71" w:rsidRPr="0083357F">
        <w:rPr>
          <w:rFonts w:cs="Arial"/>
          <w:lang w:val="de-DE" w:eastAsia="en-GB"/>
        </w:rPr>
        <w:t>.000,00 (2020: 937.300,00) im Budget verteilt auf Kanal, Gemeindestraßen, Turnhalle, Amtsgebäude, Wasserversorgung, Musikpflege, …</w:t>
      </w:r>
    </w:p>
    <w:p w14:paraId="26C4FA78" w14:textId="12990E6C" w:rsidR="00620403" w:rsidRPr="0083357F" w:rsidRDefault="00620403" w:rsidP="00175940">
      <w:pPr>
        <w:pStyle w:val="ListParagraph"/>
        <w:numPr>
          <w:ilvl w:val="0"/>
          <w:numId w:val="21"/>
        </w:numPr>
        <w:rPr>
          <w:rFonts w:cs="Arial"/>
          <w:lang w:val="de-DE" w:eastAsia="en-GB"/>
        </w:rPr>
      </w:pPr>
      <w:r w:rsidRPr="0083357F">
        <w:rPr>
          <w:rFonts w:cs="Arial"/>
          <w:lang w:val="de-DE" w:eastAsia="en-GB"/>
        </w:rPr>
        <w:t xml:space="preserve">1/5600-75100 Transfers an Länder, Landesfonds und Landeskammern (Spitalsfonds) </w:t>
      </w:r>
      <w:r w:rsidR="00B40CD2" w:rsidRPr="0083357F">
        <w:rPr>
          <w:rFonts w:cs="Arial"/>
          <w:lang w:val="de-DE" w:eastAsia="en-GB"/>
        </w:rPr>
        <w:t>827.900,00 (2020: 718.000,00)</w:t>
      </w:r>
      <w:r w:rsidR="00F73806" w:rsidRPr="0083357F">
        <w:rPr>
          <w:rFonts w:cs="Arial"/>
          <w:lang w:val="de-DE" w:eastAsia="en-GB"/>
        </w:rPr>
        <w:t xml:space="preserve"> – der allerdings vom Land durch einen Beitragszuschuss abgefedert wird (für 2019 wird im 2021 102.534,00 ausbezahlt).</w:t>
      </w:r>
    </w:p>
    <w:p w14:paraId="007933FD" w14:textId="25043EE3" w:rsidR="00620403" w:rsidRPr="0083357F" w:rsidRDefault="00620403" w:rsidP="00175940">
      <w:pPr>
        <w:pStyle w:val="ListParagraph"/>
        <w:numPr>
          <w:ilvl w:val="0"/>
          <w:numId w:val="21"/>
        </w:numPr>
        <w:rPr>
          <w:rFonts w:cs="Arial"/>
          <w:lang w:val="de-DE" w:eastAsia="en-GB"/>
        </w:rPr>
      </w:pPr>
      <w:r w:rsidRPr="0083357F">
        <w:rPr>
          <w:rFonts w:cs="Arial"/>
          <w:lang w:val="de-DE" w:eastAsia="en-GB"/>
        </w:rPr>
        <w:t xml:space="preserve">1/9300-75100 Transfers an Länder, Landesfonds und Landeskammern (Landesumlage) </w:t>
      </w:r>
      <w:r w:rsidR="00B40CD2" w:rsidRPr="0083357F">
        <w:rPr>
          <w:rFonts w:cs="Arial"/>
          <w:lang w:val="de-DE" w:eastAsia="en-GB"/>
        </w:rPr>
        <w:t>518.900,00 (2020: 604.300,00)</w:t>
      </w:r>
    </w:p>
    <w:p w14:paraId="2EED5120" w14:textId="398C312B" w:rsidR="00497B4A" w:rsidRPr="0083357F" w:rsidRDefault="00497B4A" w:rsidP="00175940">
      <w:pPr>
        <w:pStyle w:val="ListParagraph"/>
        <w:numPr>
          <w:ilvl w:val="0"/>
          <w:numId w:val="21"/>
        </w:numPr>
        <w:rPr>
          <w:rFonts w:cs="Arial"/>
          <w:lang w:val="de-DE" w:eastAsia="en-GB"/>
        </w:rPr>
      </w:pPr>
      <w:r w:rsidRPr="0083357F">
        <w:rPr>
          <w:rFonts w:cs="Arial"/>
          <w:lang w:val="de-DE" w:eastAsia="en-GB"/>
        </w:rPr>
        <w:t>…</w:t>
      </w:r>
    </w:p>
    <w:p w14:paraId="682710D2" w14:textId="38AF0046" w:rsidR="00E05C71" w:rsidRPr="0083357F" w:rsidRDefault="00E05C71" w:rsidP="00175940">
      <w:pPr>
        <w:pStyle w:val="ListParagraph"/>
        <w:numPr>
          <w:ilvl w:val="0"/>
          <w:numId w:val="21"/>
        </w:numPr>
        <w:rPr>
          <w:rFonts w:cs="Arial"/>
          <w:lang w:val="de-DE" w:eastAsia="en-GB"/>
        </w:rPr>
      </w:pPr>
      <w:r w:rsidRPr="0083357F">
        <w:rPr>
          <w:rFonts w:cs="Arial"/>
          <w:lang w:val="de-DE" w:eastAsia="en-GB"/>
        </w:rPr>
        <w:t>Zinsen in Summe 160.600,00 (2020: 167.000,00) im Budget verteilt auf Kanal, Turnhalle, Musikpflege, Wasserversorgung, Gemeindestraßen, …</w:t>
      </w:r>
    </w:p>
    <w:p w14:paraId="6DFAE9B7" w14:textId="306D2F7D" w:rsidR="00260F24" w:rsidRPr="0083357F" w:rsidRDefault="00260F24" w:rsidP="00260F24">
      <w:pPr>
        <w:pStyle w:val="Heading2"/>
        <w:numPr>
          <w:ilvl w:val="0"/>
          <w:numId w:val="0"/>
        </w:numPr>
        <w:rPr>
          <w:rFonts w:cs="Arial"/>
          <w:sz w:val="20"/>
          <w:lang w:val="de-DE"/>
        </w:rPr>
      </w:pPr>
      <w:r w:rsidRPr="0083357F">
        <w:rPr>
          <w:rFonts w:cs="Arial"/>
          <w:sz w:val="20"/>
          <w:lang w:val="de-DE"/>
        </w:rPr>
        <w:t>Investitionen für 2021</w:t>
      </w:r>
    </w:p>
    <w:p w14:paraId="7C44ADFC" w14:textId="57F8B517" w:rsidR="00260F24" w:rsidRPr="0083357F" w:rsidRDefault="00F93A3D" w:rsidP="00F93A3D">
      <w:pPr>
        <w:rPr>
          <w:rFonts w:cs="Arial"/>
          <w:lang w:val="de-DE"/>
        </w:rPr>
      </w:pPr>
      <w:r w:rsidRPr="0083357F">
        <w:rPr>
          <w:rFonts w:cs="Arial"/>
          <w:lang w:val="de-DE"/>
        </w:rPr>
        <w:t>Folgende Investitionen sind im VA 2021 geplant und werden unter den entsprechenden Budgetpositionen verbucht (und in das Vermögen aufgenommen):</w:t>
      </w:r>
    </w:p>
    <w:p w14:paraId="3C9277C0" w14:textId="77777777" w:rsidR="00F93A3D" w:rsidRPr="0083357F" w:rsidRDefault="00F93A3D" w:rsidP="00F93A3D">
      <w:pPr>
        <w:rPr>
          <w:rFonts w:cs="Arial"/>
          <w:lang w:val="de-DE"/>
        </w:rPr>
      </w:pPr>
    </w:p>
    <w:p w14:paraId="1DC32E0B" w14:textId="6EB14F74" w:rsidR="0069526B" w:rsidRPr="0083357F" w:rsidRDefault="0018085C" w:rsidP="0069526B">
      <w:pPr>
        <w:pStyle w:val="ListParagraph"/>
        <w:numPr>
          <w:ilvl w:val="0"/>
          <w:numId w:val="16"/>
        </w:numPr>
        <w:rPr>
          <w:rFonts w:cs="Arial"/>
          <w:color w:val="000000"/>
          <w:lang w:val="de-DE" w:eastAsia="en-GB"/>
        </w:rPr>
      </w:pPr>
      <w:r w:rsidRPr="0083357F">
        <w:rPr>
          <w:rFonts w:cs="Arial"/>
          <w:color w:val="000000"/>
          <w:lang w:val="de-DE" w:eastAsia="en-GB"/>
        </w:rPr>
        <w:t>Kanalkataster mit -€500.000,00 (</w:t>
      </w:r>
      <w:r w:rsidR="0069526B" w:rsidRPr="0083357F">
        <w:rPr>
          <w:rFonts w:cs="Arial"/>
          <w:color w:val="000000"/>
          <w:lang w:val="de-DE" w:eastAsia="en-GB"/>
        </w:rPr>
        <w:t>8510 Betriebe der Abwasserbeseitigung</w:t>
      </w:r>
      <w:r w:rsidRPr="0083357F">
        <w:rPr>
          <w:rFonts w:cs="Arial"/>
          <w:color w:val="000000"/>
          <w:lang w:val="de-DE" w:eastAsia="en-GB"/>
        </w:rPr>
        <w:t xml:space="preserve"> -</w:t>
      </w:r>
      <w:r w:rsidR="0069526B" w:rsidRPr="0083357F">
        <w:rPr>
          <w:rFonts w:cs="Arial"/>
          <w:color w:val="000000"/>
          <w:lang w:val="de-DE" w:eastAsia="en-GB"/>
        </w:rPr>
        <w:t xml:space="preserve"> 1/8510-07000 Aktivierungsfähige Rechte (immaterielle Vermögenswerte)</w:t>
      </w:r>
      <w:r w:rsidRPr="0083357F">
        <w:rPr>
          <w:rFonts w:cs="Arial"/>
          <w:color w:val="000000"/>
          <w:lang w:val="de-DE" w:eastAsia="en-GB"/>
        </w:rPr>
        <w:t>)</w:t>
      </w:r>
      <w:r w:rsidR="005D33F0" w:rsidRPr="0083357F">
        <w:rPr>
          <w:rFonts w:cs="Arial"/>
          <w:color w:val="000000"/>
          <w:lang w:val="de-DE" w:eastAsia="en-GB"/>
        </w:rPr>
        <w:t>. Auch in den Jahren 2022 – 2025 werden jeweils 250.000,00 dafür aufgewendet (in Summe also 1.500.000,00). Das Land fördert das heuer mit 325.000,00 (siehe unten). In Summe soll es 675.000,00 Förderungen vom Land geben.</w:t>
      </w:r>
      <w:r w:rsidR="00915D78" w:rsidRPr="0083357F">
        <w:rPr>
          <w:rFonts w:cs="Arial"/>
          <w:color w:val="000000"/>
          <w:lang w:val="de-DE" w:eastAsia="en-GB"/>
        </w:rPr>
        <w:t xml:space="preserve"> Dazu wird auch heuer ein neuer Kredit mit 300.000,00 aufgenommen und in den Jahren bis 2025 sind weitere Kredite für Kanalkataster und Instandhaltung geplant (in Summe 1.5</w:t>
      </w:r>
      <w:r w:rsidR="005A1296">
        <w:rPr>
          <w:rFonts w:cs="Arial"/>
          <w:color w:val="000000"/>
          <w:lang w:val="de-DE" w:eastAsia="en-GB"/>
        </w:rPr>
        <w:t>0</w:t>
      </w:r>
      <w:r w:rsidR="00915D78" w:rsidRPr="0083357F">
        <w:rPr>
          <w:rFonts w:cs="Arial"/>
          <w:color w:val="000000"/>
          <w:lang w:val="de-DE" w:eastAsia="en-GB"/>
        </w:rPr>
        <w:t>0.000,00, siehe Seite 14</w:t>
      </w:r>
      <w:r w:rsidR="005A1296">
        <w:rPr>
          <w:rFonts w:cs="Arial"/>
          <w:color w:val="000000"/>
          <w:lang w:val="de-DE" w:eastAsia="en-GB"/>
        </w:rPr>
        <w:t>7</w:t>
      </w:r>
      <w:r w:rsidR="00915D78" w:rsidRPr="0083357F">
        <w:rPr>
          <w:rFonts w:cs="Arial"/>
          <w:color w:val="000000"/>
          <w:lang w:val="de-DE" w:eastAsia="en-GB"/>
        </w:rPr>
        <w:t>).</w:t>
      </w:r>
    </w:p>
    <w:p w14:paraId="029EF191" w14:textId="74CE7464" w:rsidR="0069526B" w:rsidRPr="0083357F" w:rsidRDefault="0018085C" w:rsidP="0069526B">
      <w:pPr>
        <w:pStyle w:val="ListParagraph"/>
        <w:numPr>
          <w:ilvl w:val="0"/>
          <w:numId w:val="16"/>
        </w:numPr>
        <w:rPr>
          <w:rFonts w:cs="Arial"/>
          <w:lang w:val="de-DE"/>
        </w:rPr>
      </w:pPr>
      <w:r w:rsidRPr="0083357F">
        <w:rPr>
          <w:rFonts w:cs="Arial"/>
          <w:lang w:val="de-DE"/>
        </w:rPr>
        <w:t>Grundablöse Erlenstraße-Treietstraße mit -€120.000,00 (</w:t>
      </w:r>
      <w:r w:rsidR="0069526B" w:rsidRPr="0083357F">
        <w:rPr>
          <w:rFonts w:cs="Arial"/>
          <w:lang w:val="de-DE"/>
        </w:rPr>
        <w:t xml:space="preserve">8400 Grundbesitz </w:t>
      </w:r>
      <w:r w:rsidRPr="0083357F">
        <w:rPr>
          <w:rFonts w:cs="Arial"/>
          <w:lang w:val="de-DE"/>
        </w:rPr>
        <w:t xml:space="preserve">- </w:t>
      </w:r>
      <w:r w:rsidR="0069526B" w:rsidRPr="0083357F">
        <w:rPr>
          <w:rFonts w:cs="Arial"/>
          <w:lang w:val="de-DE"/>
        </w:rPr>
        <w:t>1/8400-00100 Unbebaute Grundstücke</w:t>
      </w:r>
      <w:r w:rsidRPr="0083357F">
        <w:rPr>
          <w:rFonts w:cs="Arial"/>
          <w:lang w:val="de-DE"/>
        </w:rPr>
        <w:t>)</w:t>
      </w:r>
    </w:p>
    <w:p w14:paraId="42D83A35" w14:textId="5C84F382" w:rsidR="006827F2" w:rsidRPr="0083357F" w:rsidRDefault="0018085C" w:rsidP="006827F2">
      <w:pPr>
        <w:pStyle w:val="ListParagraph"/>
        <w:numPr>
          <w:ilvl w:val="0"/>
          <w:numId w:val="16"/>
        </w:numPr>
        <w:rPr>
          <w:rFonts w:cs="Arial"/>
          <w:lang w:val="de-DE"/>
        </w:rPr>
      </w:pPr>
      <w:r w:rsidRPr="0083357F">
        <w:rPr>
          <w:rFonts w:cs="Arial"/>
          <w:lang w:val="de-DE"/>
        </w:rPr>
        <w:t>Umstellung auf LED-Straßenbeleuchtung mit -€50.000,00 (</w:t>
      </w:r>
      <w:r w:rsidR="0069526B" w:rsidRPr="0083357F">
        <w:rPr>
          <w:rFonts w:cs="Arial"/>
          <w:lang w:val="de-DE"/>
        </w:rPr>
        <w:t xml:space="preserve">8160 Öffentliche Beleuchtung und öffentliche Uhren </w:t>
      </w:r>
      <w:r w:rsidRPr="0083357F">
        <w:rPr>
          <w:rFonts w:cs="Arial"/>
          <w:lang w:val="de-DE"/>
        </w:rPr>
        <w:t xml:space="preserve">- </w:t>
      </w:r>
      <w:r w:rsidR="0069526B" w:rsidRPr="0083357F">
        <w:rPr>
          <w:rFonts w:cs="Arial"/>
          <w:lang w:val="de-DE"/>
        </w:rPr>
        <w:t>1/8160-00500 Anlagen zu Straßenbauten</w:t>
      </w:r>
      <w:r w:rsidRPr="0083357F">
        <w:rPr>
          <w:rFonts w:cs="Arial"/>
          <w:lang w:val="de-DE"/>
        </w:rPr>
        <w:t>)</w:t>
      </w:r>
      <w:r w:rsidR="000B0D0D" w:rsidRPr="0083357F">
        <w:rPr>
          <w:rFonts w:cs="Arial"/>
          <w:lang w:val="de-DE"/>
        </w:rPr>
        <w:t xml:space="preserve"> – wird zu 50% vom KIP gefördert</w:t>
      </w:r>
    </w:p>
    <w:p w14:paraId="343E617F" w14:textId="45A71AE6" w:rsidR="006827F2" w:rsidRPr="0083357F" w:rsidRDefault="0018085C" w:rsidP="006827F2">
      <w:pPr>
        <w:pStyle w:val="ListParagraph"/>
        <w:numPr>
          <w:ilvl w:val="0"/>
          <w:numId w:val="16"/>
        </w:numPr>
        <w:rPr>
          <w:rFonts w:cs="Arial"/>
          <w:color w:val="000000"/>
          <w:lang w:val="de-DE" w:eastAsia="en-GB"/>
        </w:rPr>
      </w:pPr>
      <w:r w:rsidRPr="0083357F">
        <w:rPr>
          <w:rFonts w:cs="Arial"/>
          <w:color w:val="000000"/>
          <w:lang w:val="de-DE" w:eastAsia="en-GB"/>
        </w:rPr>
        <w:t>Erweiterung Spielplatz Schmalzgasse und Installation Wasser an allen Spielplätzen mit -€50.000,00 (</w:t>
      </w:r>
      <w:r w:rsidR="006827F2" w:rsidRPr="0083357F">
        <w:rPr>
          <w:rFonts w:cs="Arial"/>
          <w:color w:val="000000"/>
          <w:lang w:val="de-DE" w:eastAsia="en-GB"/>
        </w:rPr>
        <w:t>8150 Park- und Gartenanlagen, Kinderspielplätze</w:t>
      </w:r>
      <w:r w:rsidRPr="0083357F">
        <w:rPr>
          <w:rFonts w:cs="Arial"/>
          <w:color w:val="000000"/>
          <w:lang w:val="de-DE" w:eastAsia="en-GB"/>
        </w:rPr>
        <w:t xml:space="preserve"> - </w:t>
      </w:r>
      <w:r w:rsidR="006827F2" w:rsidRPr="0083357F">
        <w:rPr>
          <w:rFonts w:cs="Arial"/>
          <w:color w:val="000000"/>
          <w:lang w:val="de-DE" w:eastAsia="en-GB"/>
        </w:rPr>
        <w:t>1/8150-00600 Sonstige Grundstückseinrichtungen</w:t>
      </w:r>
      <w:r w:rsidR="00497B4A" w:rsidRPr="0083357F">
        <w:rPr>
          <w:rFonts w:cs="Arial"/>
          <w:color w:val="000000"/>
          <w:lang w:val="de-DE" w:eastAsia="en-GB"/>
        </w:rPr>
        <w:t>)</w:t>
      </w:r>
      <w:r w:rsidR="000B0D0D" w:rsidRPr="0083357F">
        <w:rPr>
          <w:rFonts w:cs="Arial"/>
          <w:color w:val="000000"/>
          <w:lang w:val="de-DE" w:eastAsia="en-GB"/>
        </w:rPr>
        <w:t xml:space="preserve"> – </w:t>
      </w:r>
      <w:r w:rsidR="000B0D0D" w:rsidRPr="0083357F">
        <w:rPr>
          <w:rFonts w:cs="Arial"/>
          <w:lang w:val="de-DE"/>
        </w:rPr>
        <w:t>wird zu 50% vom KIP gefördert</w:t>
      </w:r>
    </w:p>
    <w:p w14:paraId="1433F819" w14:textId="712595E0" w:rsidR="0069526B" w:rsidRPr="0083357F" w:rsidRDefault="0018085C" w:rsidP="0069526B">
      <w:pPr>
        <w:pStyle w:val="ListParagraph"/>
        <w:numPr>
          <w:ilvl w:val="0"/>
          <w:numId w:val="14"/>
        </w:numPr>
        <w:rPr>
          <w:rFonts w:cs="Arial"/>
          <w:lang w:val="de-DE"/>
        </w:rPr>
      </w:pPr>
      <w:r w:rsidRPr="0083357F">
        <w:rPr>
          <w:rFonts w:cs="Arial"/>
          <w:lang w:val="de-DE"/>
        </w:rPr>
        <w:t>Waschmaschine für Beatmungsmasken mit -€14.000,00 (</w:t>
      </w:r>
      <w:r w:rsidR="0069526B" w:rsidRPr="0083357F">
        <w:rPr>
          <w:rFonts w:cs="Arial"/>
          <w:lang w:val="de-DE"/>
        </w:rPr>
        <w:t>1630 Freiwillige Feuerwehr 1/1630-04200 Amts-, Betriebs- und Geschäftsausstattung</w:t>
      </w:r>
      <w:r w:rsidRPr="0083357F">
        <w:rPr>
          <w:rFonts w:cs="Arial"/>
          <w:lang w:val="de-DE"/>
        </w:rPr>
        <w:t>)</w:t>
      </w:r>
    </w:p>
    <w:p w14:paraId="156DF2F2" w14:textId="351224B8" w:rsidR="00F93A3D" w:rsidRPr="0083357F" w:rsidRDefault="0018085C" w:rsidP="00F93A3D">
      <w:pPr>
        <w:pStyle w:val="ListParagraph"/>
        <w:numPr>
          <w:ilvl w:val="0"/>
          <w:numId w:val="14"/>
        </w:numPr>
        <w:rPr>
          <w:rFonts w:cs="Arial"/>
          <w:lang w:val="de-DE"/>
        </w:rPr>
      </w:pPr>
      <w:r w:rsidRPr="0083357F">
        <w:rPr>
          <w:rFonts w:cs="Arial"/>
          <w:lang w:val="de-DE"/>
        </w:rPr>
        <w:t>EDV-Ausstattung mit -€10.000,00  (</w:t>
      </w:r>
      <w:r w:rsidR="00D518AB" w:rsidRPr="0083357F">
        <w:rPr>
          <w:rFonts w:cs="Arial"/>
          <w:lang w:val="de-DE"/>
        </w:rPr>
        <w:t>0160 Elektronische Datenverarbeitung</w:t>
      </w:r>
      <w:r w:rsidRPr="0083357F">
        <w:rPr>
          <w:rFonts w:cs="Arial"/>
          <w:lang w:val="de-DE"/>
        </w:rPr>
        <w:t xml:space="preserve"> - </w:t>
      </w:r>
      <w:r w:rsidR="00D518AB" w:rsidRPr="0083357F">
        <w:rPr>
          <w:rFonts w:cs="Arial"/>
          <w:lang w:val="de-DE"/>
        </w:rPr>
        <w:t>1/0160-04200 Amts-, Betriebs- und Geschäftsausstattung</w:t>
      </w:r>
      <w:r w:rsidRPr="0083357F">
        <w:rPr>
          <w:rFonts w:cs="Arial"/>
          <w:lang w:val="de-DE"/>
        </w:rPr>
        <w:t>)</w:t>
      </w:r>
    </w:p>
    <w:p w14:paraId="30787E11" w14:textId="272C49FE" w:rsidR="00AB6236" w:rsidRPr="0083357F" w:rsidRDefault="00EC0605" w:rsidP="0018085C">
      <w:pPr>
        <w:pStyle w:val="ListParagraph"/>
        <w:numPr>
          <w:ilvl w:val="0"/>
          <w:numId w:val="14"/>
        </w:numPr>
        <w:rPr>
          <w:rFonts w:cs="Arial"/>
          <w:lang w:val="de-DE"/>
        </w:rPr>
      </w:pPr>
      <w:r w:rsidRPr="00EC0605">
        <w:rPr>
          <w:rFonts w:cs="Arial"/>
          <w:lang w:val="de-DE"/>
        </w:rPr>
        <w:t>Marktstände mit Hänger</w:t>
      </w:r>
      <w:r>
        <w:rPr>
          <w:rFonts w:cs="Arial"/>
          <w:lang w:val="de-DE"/>
        </w:rPr>
        <w:t xml:space="preserve"> </w:t>
      </w:r>
      <w:r w:rsidR="0018085C" w:rsidRPr="0083357F">
        <w:rPr>
          <w:rFonts w:cs="Arial"/>
          <w:lang w:val="de-DE"/>
        </w:rPr>
        <w:t>mit -€10.000,00 (</w:t>
      </w:r>
      <w:r w:rsidR="00AB6236" w:rsidRPr="0083357F">
        <w:rPr>
          <w:rFonts w:cs="Arial"/>
          <w:lang w:val="de-DE"/>
        </w:rPr>
        <w:t>7820 Wirtschaftspolitische Maßnahmen 1/7820-04000 Fahrzeuge</w:t>
      </w:r>
      <w:r w:rsidR="0018085C" w:rsidRPr="0083357F">
        <w:rPr>
          <w:rFonts w:cs="Arial"/>
          <w:lang w:val="de-DE"/>
        </w:rPr>
        <w:t>)</w:t>
      </w:r>
    </w:p>
    <w:p w14:paraId="56867118" w14:textId="629145D4" w:rsidR="00D10CD0" w:rsidRPr="0083357F" w:rsidRDefault="0018085C" w:rsidP="00AB6236">
      <w:pPr>
        <w:pStyle w:val="ListParagraph"/>
        <w:numPr>
          <w:ilvl w:val="0"/>
          <w:numId w:val="14"/>
        </w:numPr>
        <w:rPr>
          <w:rFonts w:cs="Arial"/>
          <w:lang w:val="de-DE"/>
        </w:rPr>
      </w:pPr>
      <w:r w:rsidRPr="0083357F">
        <w:rPr>
          <w:rFonts w:cs="Arial"/>
          <w:lang w:val="de-DE"/>
        </w:rPr>
        <w:t>WLAN, Glasfaser, Internet usw. für die Mittelschule mit -€10.000,00 (</w:t>
      </w:r>
      <w:r w:rsidR="00D10CD0" w:rsidRPr="0083357F">
        <w:rPr>
          <w:rFonts w:cs="Arial"/>
          <w:lang w:val="de-DE"/>
        </w:rPr>
        <w:t xml:space="preserve">2120 Mittelschule </w:t>
      </w:r>
      <w:r w:rsidRPr="0083357F">
        <w:rPr>
          <w:rFonts w:cs="Arial"/>
          <w:lang w:val="de-DE"/>
        </w:rPr>
        <w:t xml:space="preserve">- </w:t>
      </w:r>
      <w:r w:rsidR="00D10CD0" w:rsidRPr="0083357F">
        <w:rPr>
          <w:rFonts w:cs="Arial"/>
          <w:lang w:val="de-DE"/>
        </w:rPr>
        <w:t>1/2120-04200 Amts-, Betriebs- und Geschäftsausstattung</w:t>
      </w:r>
      <w:r w:rsidRPr="0083357F">
        <w:rPr>
          <w:rFonts w:cs="Arial"/>
          <w:lang w:val="de-DE"/>
        </w:rPr>
        <w:t>)</w:t>
      </w:r>
    </w:p>
    <w:p w14:paraId="7A30B865" w14:textId="2D15B6FA" w:rsidR="0018085C" w:rsidRPr="0083357F" w:rsidRDefault="0018085C" w:rsidP="00AB6236">
      <w:pPr>
        <w:pStyle w:val="ListParagraph"/>
        <w:numPr>
          <w:ilvl w:val="0"/>
          <w:numId w:val="14"/>
        </w:numPr>
        <w:rPr>
          <w:rFonts w:cs="Arial"/>
          <w:lang w:val="de-DE"/>
        </w:rPr>
      </w:pPr>
      <w:r w:rsidRPr="0083357F">
        <w:rPr>
          <w:rFonts w:cs="Arial"/>
          <w:lang w:val="de-DE"/>
        </w:rPr>
        <w:t xml:space="preserve">Weitere </w:t>
      </w:r>
      <w:r w:rsidR="00E05C71" w:rsidRPr="0083357F">
        <w:rPr>
          <w:rFonts w:cs="Arial"/>
          <w:lang w:val="de-DE"/>
        </w:rPr>
        <w:t>Investitionen in Amts-, Betriebs- und Geschäftsausstattung im Budget verteilt auf</w:t>
      </w:r>
      <w:r w:rsidR="00D32FF3" w:rsidRPr="0083357F">
        <w:rPr>
          <w:rFonts w:cs="Arial"/>
          <w:lang w:val="de-DE"/>
        </w:rPr>
        <w:t xml:space="preserve"> verschieden Positionen</w:t>
      </w:r>
    </w:p>
    <w:p w14:paraId="3B4D7809" w14:textId="31DAF895" w:rsidR="00AB6236" w:rsidRPr="0083357F" w:rsidRDefault="00AB6236" w:rsidP="00AB6236">
      <w:pPr>
        <w:ind w:left="360"/>
        <w:rPr>
          <w:rFonts w:cs="Arial"/>
          <w:lang w:val="de-DE"/>
        </w:rPr>
      </w:pPr>
    </w:p>
    <w:p w14:paraId="387F4046" w14:textId="1C409D2A" w:rsidR="00D10CD0" w:rsidRPr="0083357F" w:rsidRDefault="0018085C" w:rsidP="00D10CD0">
      <w:pPr>
        <w:rPr>
          <w:rFonts w:cs="Arial"/>
          <w:lang w:val="de-DE"/>
        </w:rPr>
      </w:pPr>
      <w:r w:rsidRPr="0083357F">
        <w:rPr>
          <w:rFonts w:cs="Arial"/>
          <w:lang w:val="de-DE"/>
        </w:rPr>
        <w:t xml:space="preserve">Für die Investitionen werden folgende </w:t>
      </w:r>
      <w:r w:rsidR="00D10CD0" w:rsidRPr="0083357F">
        <w:rPr>
          <w:rFonts w:cs="Arial"/>
          <w:lang w:val="de-DE"/>
        </w:rPr>
        <w:t>Investitionskostenzuschüsse</w:t>
      </w:r>
      <w:r w:rsidRPr="0083357F">
        <w:rPr>
          <w:rFonts w:cs="Arial"/>
          <w:lang w:val="de-DE"/>
        </w:rPr>
        <w:t xml:space="preserve"> vom Bund (KIG 2020) und Land veranschlagt:</w:t>
      </w:r>
    </w:p>
    <w:p w14:paraId="4E627EC7" w14:textId="3519B038" w:rsidR="00E56FC6" w:rsidRPr="0083357F" w:rsidRDefault="005D33F0" w:rsidP="005D33F0">
      <w:pPr>
        <w:pStyle w:val="ListParagraph"/>
        <w:numPr>
          <w:ilvl w:val="0"/>
          <w:numId w:val="14"/>
        </w:numPr>
        <w:rPr>
          <w:rFonts w:cs="Arial"/>
          <w:lang w:val="de-DE"/>
        </w:rPr>
      </w:pPr>
      <w:r w:rsidRPr="0083357F">
        <w:rPr>
          <w:rFonts w:cs="Arial"/>
          <w:lang w:val="de-DE"/>
        </w:rPr>
        <w:t>Förderung Kanalkataster Land (für 2020 und 2021) 325.000,00 (</w:t>
      </w:r>
      <w:r w:rsidR="00E56FC6" w:rsidRPr="0083357F">
        <w:rPr>
          <w:rFonts w:cs="Arial"/>
          <w:lang w:val="de-DE"/>
        </w:rPr>
        <w:t>8510 Betriebe der Abwasserbeseitigung - 2/8510+30100 Kapitaltransfers von Ländern, Landesfonds und Landeskammern</w:t>
      </w:r>
      <w:r w:rsidRPr="0083357F">
        <w:rPr>
          <w:rFonts w:cs="Arial"/>
          <w:lang w:val="de-DE"/>
        </w:rPr>
        <w:t>)</w:t>
      </w:r>
    </w:p>
    <w:p w14:paraId="5DE9BDB2" w14:textId="63221A10" w:rsidR="00E56FC6" w:rsidRPr="0083357F" w:rsidRDefault="005D33F0" w:rsidP="00337300">
      <w:pPr>
        <w:pStyle w:val="ListParagraph"/>
        <w:numPr>
          <w:ilvl w:val="0"/>
          <w:numId w:val="14"/>
        </w:numPr>
        <w:rPr>
          <w:rFonts w:cs="Arial"/>
          <w:lang w:val="de-DE"/>
        </w:rPr>
      </w:pPr>
      <w:r w:rsidRPr="0083357F">
        <w:rPr>
          <w:rFonts w:cs="Arial"/>
          <w:lang w:val="de-DE"/>
        </w:rPr>
        <w:t>Förderung vom Bund (KIP) für den Kanalbau 125.000,00 (</w:t>
      </w:r>
      <w:r w:rsidR="00E56FC6" w:rsidRPr="0083357F">
        <w:rPr>
          <w:rFonts w:cs="Arial"/>
          <w:lang w:val="de-DE"/>
        </w:rPr>
        <w:t>8510 Betriebe der Abwasserbeseitigung - 2/8510+30000 Kapitaltransfers von Bund, Bundesfonds und Bundeskammern (2021  KIP)</w:t>
      </w:r>
      <w:r w:rsidRPr="0083357F">
        <w:rPr>
          <w:rFonts w:cs="Arial"/>
          <w:lang w:val="de-DE"/>
        </w:rPr>
        <w:t>)</w:t>
      </w:r>
    </w:p>
    <w:p w14:paraId="5C651402" w14:textId="1E524AB3" w:rsidR="00E56FC6" w:rsidRPr="0083357F" w:rsidRDefault="005D33F0" w:rsidP="00337300">
      <w:pPr>
        <w:pStyle w:val="ListParagraph"/>
        <w:numPr>
          <w:ilvl w:val="0"/>
          <w:numId w:val="14"/>
        </w:numPr>
        <w:rPr>
          <w:rFonts w:cs="Arial"/>
          <w:lang w:val="de-DE"/>
        </w:rPr>
      </w:pPr>
      <w:r w:rsidRPr="0083357F">
        <w:rPr>
          <w:rFonts w:cs="Arial"/>
          <w:lang w:val="de-DE"/>
        </w:rPr>
        <w:t>Förderung vom Bund (KIP) für Spielplätze 25.000,00 (</w:t>
      </w:r>
      <w:r w:rsidR="00E56FC6" w:rsidRPr="0083357F">
        <w:rPr>
          <w:rFonts w:cs="Arial"/>
          <w:lang w:val="de-DE"/>
        </w:rPr>
        <w:t>8150 Park- und Gartenanlagen, Kinderspielplätze - 2/8150+30000 Kapitaltransfers von Bund, Bundesfonds und Bundeskammern (2021 KIP)</w:t>
      </w:r>
      <w:r w:rsidRPr="0083357F">
        <w:rPr>
          <w:rFonts w:cs="Arial"/>
          <w:lang w:val="de-DE"/>
        </w:rPr>
        <w:t>)</w:t>
      </w:r>
    </w:p>
    <w:p w14:paraId="521DF709" w14:textId="208EB5A2" w:rsidR="00A71106" w:rsidRPr="0083357F" w:rsidRDefault="005D33F0" w:rsidP="00A71106">
      <w:pPr>
        <w:pStyle w:val="ListParagraph"/>
        <w:numPr>
          <w:ilvl w:val="0"/>
          <w:numId w:val="14"/>
        </w:numPr>
        <w:rPr>
          <w:rFonts w:cs="Arial"/>
          <w:lang w:val="de-DE"/>
        </w:rPr>
      </w:pPr>
      <w:r w:rsidRPr="0083357F">
        <w:rPr>
          <w:rFonts w:cs="Arial"/>
          <w:lang w:val="de-DE"/>
        </w:rPr>
        <w:t>Förderung vom Bund (KIP) für LED-Straßenbeleuchtung 25.000,00 (</w:t>
      </w:r>
      <w:r w:rsidR="00E56FC6" w:rsidRPr="0083357F">
        <w:rPr>
          <w:rFonts w:cs="Arial"/>
          <w:lang w:val="de-DE"/>
        </w:rPr>
        <w:t>8160 Öffentliche Beleuchtung und öffentliche Uhren - 2/8160+30000 Kapitaltransfers von Bund, Bundesfonds und Bundeskammern (2021 KIP)</w:t>
      </w:r>
      <w:r w:rsidRPr="0083357F">
        <w:rPr>
          <w:rFonts w:cs="Arial"/>
          <w:lang w:val="de-DE"/>
        </w:rPr>
        <w:t>)</w:t>
      </w:r>
    </w:p>
    <w:p w14:paraId="16C11ADB" w14:textId="6F78E756" w:rsidR="00A71106" w:rsidRPr="0083357F" w:rsidRDefault="005D33F0" w:rsidP="00A71106">
      <w:pPr>
        <w:pStyle w:val="ListParagraph"/>
        <w:numPr>
          <w:ilvl w:val="0"/>
          <w:numId w:val="14"/>
        </w:numPr>
        <w:rPr>
          <w:rFonts w:cs="Arial"/>
          <w:lang w:val="de-DE"/>
        </w:rPr>
      </w:pPr>
      <w:r w:rsidRPr="0083357F">
        <w:rPr>
          <w:rFonts w:cs="Arial"/>
          <w:lang w:val="de-DE"/>
        </w:rPr>
        <w:t xml:space="preserve">Förderung vom Bund (KIP) für Wasserleitung Bruderhof (investiert 2020) </w:t>
      </w:r>
      <w:r w:rsidRPr="0083357F">
        <w:rPr>
          <w:rFonts w:cs="Arial"/>
          <w:lang w:val="de-DE" w:eastAsia="en-GB"/>
        </w:rPr>
        <w:t>100.000,00 (</w:t>
      </w:r>
      <w:r w:rsidR="00A71106" w:rsidRPr="0083357F">
        <w:rPr>
          <w:rFonts w:cs="Arial"/>
          <w:lang w:val="de-DE" w:eastAsia="en-GB"/>
        </w:rPr>
        <w:t>8500 Betriebe der Wasserversorgung  - 2/8500+30000 Kapitaltransfers von Bund, Bundesfonds und Bundeskammern</w:t>
      </w:r>
      <w:r w:rsidRPr="0083357F">
        <w:rPr>
          <w:rFonts w:cs="Arial"/>
          <w:lang w:val="de-DE" w:eastAsia="en-GB"/>
        </w:rPr>
        <w:t>)</w:t>
      </w:r>
    </w:p>
    <w:p w14:paraId="488CEA21" w14:textId="5E15E08F" w:rsidR="00497B4A" w:rsidRPr="0083357F" w:rsidRDefault="00497B4A" w:rsidP="00497B4A">
      <w:pPr>
        <w:rPr>
          <w:rFonts w:cs="Arial"/>
          <w:lang w:val="de-DE"/>
        </w:rPr>
      </w:pPr>
    </w:p>
    <w:p w14:paraId="0854AA6A" w14:textId="5B982F0B" w:rsidR="00497B4A" w:rsidRPr="0083357F" w:rsidRDefault="00497B4A" w:rsidP="00497B4A">
      <w:pPr>
        <w:rPr>
          <w:rFonts w:cs="Arial"/>
          <w:lang w:val="de-DE"/>
        </w:rPr>
      </w:pPr>
      <w:r w:rsidRPr="0083357F">
        <w:rPr>
          <w:rFonts w:cs="Arial"/>
          <w:lang w:val="de-DE"/>
        </w:rPr>
        <w:t>Weitere 50.000,00 Investitionskostenzuschüsse vom Bund (KI</w:t>
      </w:r>
      <w:r w:rsidR="00E74D3F" w:rsidRPr="0083357F">
        <w:rPr>
          <w:rFonts w:cs="Arial"/>
          <w:lang w:val="de-DE"/>
        </w:rPr>
        <w:t>P</w:t>
      </w:r>
      <w:r w:rsidRPr="0083357F">
        <w:rPr>
          <w:rFonts w:cs="Arial"/>
          <w:lang w:val="de-DE"/>
        </w:rPr>
        <w:t xml:space="preserve"> 2020) wären möglich</w:t>
      </w:r>
      <w:r w:rsidR="005D33F0" w:rsidRPr="0083357F">
        <w:rPr>
          <w:rFonts w:cs="Arial"/>
          <w:lang w:val="de-DE"/>
        </w:rPr>
        <w:t>. Es wird auch versucht diese mit Instandhaltungen (z.B. Schule) zu beantragen, sie sind aber nicht budgetiert.</w:t>
      </w:r>
    </w:p>
    <w:p w14:paraId="78519CCC" w14:textId="6DF93C36" w:rsidR="005D33F0" w:rsidRPr="0083357F" w:rsidRDefault="005D33F0" w:rsidP="00497B4A">
      <w:pPr>
        <w:rPr>
          <w:rFonts w:cs="Arial"/>
          <w:lang w:val="de-DE"/>
        </w:rPr>
      </w:pPr>
    </w:p>
    <w:p w14:paraId="0D87D86F" w14:textId="3653A915" w:rsidR="005D33F0" w:rsidRPr="0083357F" w:rsidRDefault="005D33F0" w:rsidP="00497B4A">
      <w:pPr>
        <w:rPr>
          <w:rFonts w:cs="Arial"/>
          <w:lang w:val="de-DE"/>
        </w:rPr>
      </w:pPr>
      <w:r w:rsidRPr="0083357F">
        <w:rPr>
          <w:rFonts w:cs="Arial"/>
          <w:color w:val="000000"/>
          <w:lang w:val="de-DE" w:eastAsia="en-GB"/>
        </w:rPr>
        <w:t>Es werden keine Investitionen in Gemeindestraßen getätigt (Römerweg wird verschoben).</w:t>
      </w:r>
    </w:p>
    <w:p w14:paraId="0A63671C" w14:textId="7C945FAC" w:rsidR="00247EA2" w:rsidRPr="0083357F" w:rsidRDefault="00247EA2" w:rsidP="00247EA2">
      <w:pPr>
        <w:pStyle w:val="Heading2"/>
        <w:numPr>
          <w:ilvl w:val="0"/>
          <w:numId w:val="0"/>
        </w:numPr>
        <w:rPr>
          <w:rFonts w:cs="Arial"/>
          <w:sz w:val="20"/>
          <w:lang w:val="de-DE"/>
        </w:rPr>
      </w:pPr>
      <w:r w:rsidRPr="0083357F">
        <w:rPr>
          <w:rFonts w:cs="Arial"/>
          <w:sz w:val="20"/>
          <w:lang w:val="de-DE"/>
        </w:rPr>
        <w:t>Budgetpositionen 2021</w:t>
      </w:r>
      <w:r w:rsidR="006827F2" w:rsidRPr="0083357F">
        <w:rPr>
          <w:rFonts w:cs="Arial"/>
          <w:sz w:val="20"/>
          <w:lang w:val="de-DE"/>
        </w:rPr>
        <w:t xml:space="preserve"> neu</w:t>
      </w:r>
      <w:r w:rsidR="00A07D4C" w:rsidRPr="0083357F">
        <w:rPr>
          <w:rFonts w:cs="Arial"/>
          <w:sz w:val="20"/>
          <w:lang w:val="de-DE"/>
        </w:rPr>
        <w:t>e Aufwände</w:t>
      </w:r>
    </w:p>
    <w:p w14:paraId="296D07DF" w14:textId="6646868C" w:rsidR="006827F2" w:rsidRPr="0083357F" w:rsidRDefault="006827F2" w:rsidP="006827F2">
      <w:pPr>
        <w:rPr>
          <w:rFonts w:cs="Arial"/>
          <w:lang w:val="de-DE"/>
        </w:rPr>
      </w:pPr>
      <w:r w:rsidRPr="0083357F">
        <w:rPr>
          <w:rFonts w:cs="Arial"/>
          <w:lang w:val="de-DE"/>
        </w:rPr>
        <w:t xml:space="preserve">Folgende Budgetpositionen </w:t>
      </w:r>
      <w:r w:rsidR="00574BA7" w:rsidRPr="0083357F">
        <w:rPr>
          <w:rFonts w:cs="Arial"/>
          <w:lang w:val="de-DE"/>
        </w:rPr>
        <w:t>im VA 2021 sind neu</w:t>
      </w:r>
      <w:r w:rsidR="00A07D4C" w:rsidRPr="0083357F">
        <w:rPr>
          <w:rFonts w:cs="Arial"/>
          <w:lang w:val="de-DE"/>
        </w:rPr>
        <w:t>e Aufwände</w:t>
      </w:r>
      <w:r w:rsidR="00574BA7" w:rsidRPr="0083357F">
        <w:rPr>
          <w:rFonts w:cs="Arial"/>
          <w:lang w:val="de-DE"/>
        </w:rPr>
        <w:t xml:space="preserve"> oder weisen erhebliche </w:t>
      </w:r>
      <w:r w:rsidR="00A07D4C" w:rsidRPr="0083357F">
        <w:rPr>
          <w:rFonts w:cs="Arial"/>
          <w:lang w:val="de-DE"/>
        </w:rPr>
        <w:t>Mehrausgaben</w:t>
      </w:r>
      <w:r w:rsidR="00574BA7" w:rsidRPr="0083357F">
        <w:rPr>
          <w:rFonts w:cs="Arial"/>
          <w:lang w:val="de-DE"/>
        </w:rPr>
        <w:t xml:space="preserve"> zu 2020 auf:</w:t>
      </w:r>
    </w:p>
    <w:p w14:paraId="1F802FE6" w14:textId="7B26ADA7" w:rsidR="00574BA7" w:rsidRPr="0083357F" w:rsidRDefault="00574BA7" w:rsidP="00574BA7">
      <w:pPr>
        <w:rPr>
          <w:rFonts w:cs="Arial"/>
          <w:lang w:val="de-DE"/>
        </w:rPr>
      </w:pPr>
    </w:p>
    <w:p w14:paraId="3B0957DA" w14:textId="593E3237" w:rsidR="00574BA7" w:rsidRPr="0083357F" w:rsidRDefault="00E05C71" w:rsidP="00E05C71">
      <w:pPr>
        <w:pStyle w:val="ListParagraph"/>
        <w:numPr>
          <w:ilvl w:val="0"/>
          <w:numId w:val="17"/>
        </w:numPr>
        <w:rPr>
          <w:rFonts w:cs="Arial"/>
          <w:color w:val="000000"/>
          <w:lang w:val="de-DE" w:eastAsia="en-GB"/>
        </w:rPr>
      </w:pPr>
      <w:r w:rsidRPr="0083357F">
        <w:rPr>
          <w:rFonts w:cs="Arial"/>
          <w:color w:val="000000"/>
          <w:lang w:val="de-DE" w:eastAsia="en-GB"/>
        </w:rPr>
        <w:t>Kanalverlegung Friedhof mit -€250.000,00 (</w:t>
      </w:r>
      <w:r w:rsidR="00574BA7" w:rsidRPr="0083357F">
        <w:rPr>
          <w:rFonts w:cs="Arial"/>
          <w:color w:val="000000"/>
          <w:lang w:val="de-DE" w:eastAsia="en-GB"/>
        </w:rPr>
        <w:t>1/8510-61290 Instandhaltung von Wasser- und Abwasserbauten und -anlagen – einmalig</w:t>
      </w:r>
      <w:r w:rsidRPr="0083357F">
        <w:rPr>
          <w:rFonts w:cs="Arial"/>
          <w:color w:val="000000"/>
          <w:lang w:val="de-DE" w:eastAsia="en-GB"/>
        </w:rPr>
        <w:t>)</w:t>
      </w:r>
      <w:r w:rsidR="000B0D0D" w:rsidRPr="0083357F">
        <w:rPr>
          <w:rFonts w:cs="Arial"/>
          <w:lang w:val="de-DE"/>
        </w:rPr>
        <w:t xml:space="preserve"> – wird zu 50% vom KIP gefördert</w:t>
      </w:r>
    </w:p>
    <w:p w14:paraId="2C19061D" w14:textId="6D16EE67" w:rsidR="008C3A0C" w:rsidRPr="0083357F" w:rsidRDefault="00E05C71" w:rsidP="00D32FF3">
      <w:pPr>
        <w:pStyle w:val="ListParagraph"/>
        <w:numPr>
          <w:ilvl w:val="0"/>
          <w:numId w:val="17"/>
        </w:numPr>
        <w:rPr>
          <w:rFonts w:cs="Arial"/>
          <w:lang w:val="de-DE"/>
        </w:rPr>
      </w:pPr>
      <w:r w:rsidRPr="0083357F">
        <w:rPr>
          <w:rFonts w:cs="Arial"/>
          <w:lang w:val="de-DE"/>
        </w:rPr>
        <w:t>Neue Steuerung für Schule und Bücherei (für die alte Steuerung werden keine weiter Steuermodule von Siemens produziert) mit 210.000,00 (</w:t>
      </w:r>
      <w:r w:rsidRPr="0083357F">
        <w:rPr>
          <w:rFonts w:cs="Arial"/>
          <w:color w:val="000000"/>
          <w:lang w:val="de-DE" w:eastAsia="en-GB"/>
        </w:rPr>
        <w:t>1/2120-61490 Instandhaltung von Gebäuden und Bauten – einmalig -€170.000,00 und 1/2120-61400 Instandhaltung von Gebäuden und Bauten -€40.000,00) – diese Instandhaltung wird erst im Jahr 2022 über die Schulerhaltungsbeiträge verumlagt</w:t>
      </w:r>
    </w:p>
    <w:p w14:paraId="606B6B7E" w14:textId="2EE43F6E" w:rsidR="003600C6" w:rsidRPr="0083357F" w:rsidRDefault="00D32FF3" w:rsidP="00D32FF3">
      <w:pPr>
        <w:pStyle w:val="ListParagraph"/>
        <w:numPr>
          <w:ilvl w:val="0"/>
          <w:numId w:val="17"/>
        </w:numPr>
        <w:rPr>
          <w:rFonts w:cs="Arial"/>
          <w:lang w:val="de-DE" w:eastAsia="en-GB"/>
        </w:rPr>
      </w:pPr>
      <w:r w:rsidRPr="0083357F">
        <w:rPr>
          <w:rFonts w:cs="Arial"/>
          <w:lang w:val="de-DE" w:eastAsia="en-GB"/>
        </w:rPr>
        <w:t>Klausbach Instandhaltung (inkl. Stützmauer sanieren) in Summe 105.000.- (</w:t>
      </w:r>
      <w:r w:rsidR="008C3A0C" w:rsidRPr="0083357F">
        <w:rPr>
          <w:rFonts w:cs="Arial"/>
          <w:lang w:val="de-DE" w:eastAsia="en-GB"/>
        </w:rPr>
        <w:t xml:space="preserve">6390 Schutzwasserbau </w:t>
      </w:r>
      <w:r w:rsidRPr="0083357F">
        <w:rPr>
          <w:rFonts w:cs="Arial"/>
          <w:lang w:val="de-DE" w:eastAsia="en-GB"/>
        </w:rPr>
        <w:t xml:space="preserve">- </w:t>
      </w:r>
      <w:r w:rsidR="008C3A0C" w:rsidRPr="0083357F">
        <w:rPr>
          <w:rFonts w:cs="Arial"/>
          <w:lang w:val="de-DE" w:eastAsia="en-GB"/>
        </w:rPr>
        <w:t>1/6390-61200 Instandhaltung von Wasser- und Abwasserbauten und -anlagen -€55.000,00</w:t>
      </w:r>
      <w:r w:rsidRPr="0083357F">
        <w:rPr>
          <w:rFonts w:cs="Arial"/>
          <w:lang w:val="de-DE" w:eastAsia="en-GB"/>
        </w:rPr>
        <w:t xml:space="preserve"> und </w:t>
      </w:r>
      <w:r w:rsidR="008C3A0C" w:rsidRPr="0083357F">
        <w:rPr>
          <w:rFonts w:cs="Arial"/>
          <w:lang w:val="de-DE" w:eastAsia="en-GB"/>
        </w:rPr>
        <w:t>1/6390-61290 Instandhaltung von Wasser- und Abwasserbauten und -anlagen – einmalig -€50.000,00</w:t>
      </w:r>
      <w:r w:rsidRPr="0083357F">
        <w:rPr>
          <w:rFonts w:cs="Arial"/>
          <w:lang w:val="de-DE" w:eastAsia="en-GB"/>
        </w:rPr>
        <w:t xml:space="preserve"> – beide Aufwände werden zu 2/3 vom Land gefördert (</w:t>
      </w:r>
      <w:r w:rsidR="008C3A0C" w:rsidRPr="0083357F">
        <w:rPr>
          <w:rFonts w:cs="Arial"/>
          <w:lang w:val="de-DE" w:eastAsia="en-GB"/>
        </w:rPr>
        <w:t>2/6390+86100 Transfers von Ländern, Landesfonds und Landeskammern €36.000,00</w:t>
      </w:r>
      <w:r w:rsidRPr="0083357F">
        <w:rPr>
          <w:rFonts w:cs="Arial"/>
          <w:lang w:val="de-DE" w:eastAsia="en-GB"/>
        </w:rPr>
        <w:t xml:space="preserve"> und </w:t>
      </w:r>
      <w:r w:rsidR="008C3A0C" w:rsidRPr="0083357F">
        <w:rPr>
          <w:rFonts w:cs="Arial"/>
          <w:lang w:val="de-DE" w:eastAsia="en-GB"/>
        </w:rPr>
        <w:t>2/6390+86190 Transfers von Ländern, Landesfonds und Landeskammern - einmalig €33.000,00</w:t>
      </w:r>
      <w:r w:rsidRPr="0083357F">
        <w:rPr>
          <w:rFonts w:cs="Arial"/>
          <w:lang w:val="de-DE" w:eastAsia="en-GB"/>
        </w:rPr>
        <w:t>)</w:t>
      </w:r>
    </w:p>
    <w:p w14:paraId="0F457535" w14:textId="2274A9F7" w:rsidR="00AB6236" w:rsidRPr="0083357F" w:rsidRDefault="003600C6" w:rsidP="00AB6236">
      <w:pPr>
        <w:pStyle w:val="ListParagraph"/>
        <w:numPr>
          <w:ilvl w:val="0"/>
          <w:numId w:val="17"/>
        </w:numPr>
        <w:rPr>
          <w:rFonts w:cs="Arial"/>
          <w:lang w:val="de-DE"/>
        </w:rPr>
      </w:pPr>
      <w:r w:rsidRPr="0083357F">
        <w:rPr>
          <w:rFonts w:cs="Arial"/>
          <w:lang w:val="de-DE"/>
        </w:rPr>
        <w:t>Neue Papiertonnen für jeden Haushalt mit -€42.000,00 (</w:t>
      </w:r>
      <w:r w:rsidR="00AB6236" w:rsidRPr="0083357F">
        <w:rPr>
          <w:rFonts w:cs="Arial"/>
          <w:lang w:val="de-DE"/>
        </w:rPr>
        <w:t>8520 Betriebe der Müllbeseitigung</w:t>
      </w:r>
      <w:r w:rsidRPr="0083357F">
        <w:rPr>
          <w:rFonts w:cs="Arial"/>
          <w:lang w:val="de-DE"/>
        </w:rPr>
        <w:t xml:space="preserve"> - </w:t>
      </w:r>
      <w:r w:rsidR="00AB6236" w:rsidRPr="0083357F">
        <w:rPr>
          <w:rFonts w:cs="Arial"/>
          <w:lang w:val="de-DE"/>
        </w:rPr>
        <w:t xml:space="preserve"> 1/8520-41300 Handelswaren (Abfallgefäße)</w:t>
      </w:r>
      <w:r w:rsidRPr="0083357F">
        <w:rPr>
          <w:rFonts w:cs="Arial"/>
          <w:lang w:val="de-DE"/>
        </w:rPr>
        <w:t>)</w:t>
      </w:r>
    </w:p>
    <w:p w14:paraId="26564E36" w14:textId="556FF72E" w:rsidR="003600C6" w:rsidRPr="0083357F" w:rsidRDefault="003600C6" w:rsidP="003600C6">
      <w:pPr>
        <w:pStyle w:val="ListParagraph"/>
        <w:numPr>
          <w:ilvl w:val="0"/>
          <w:numId w:val="17"/>
        </w:numPr>
        <w:rPr>
          <w:rFonts w:cs="Arial"/>
          <w:lang w:val="de-DE"/>
        </w:rPr>
      </w:pPr>
      <w:r w:rsidRPr="0083357F">
        <w:rPr>
          <w:rFonts w:cs="Arial"/>
          <w:lang w:val="de-DE"/>
        </w:rPr>
        <w:t>Die Betreuung der Schüler wurde zum Verein Tagesmütter ausgegliedert, dafür Einsparung bei unserem Personal und keine Elternbeiträge (2321 VS Schülerbetreuung 1/2321-72010 -Kostenbeiträge (Kostenersätze) für Leistungen (Verein Tagesmütter) -€30.000,00)</w:t>
      </w:r>
    </w:p>
    <w:p w14:paraId="4A4ABFD0" w14:textId="3AB75575" w:rsidR="00E56FC6" w:rsidRPr="0083357F" w:rsidRDefault="00E56FC6" w:rsidP="00E56FC6">
      <w:pPr>
        <w:pStyle w:val="ListParagraph"/>
        <w:numPr>
          <w:ilvl w:val="0"/>
          <w:numId w:val="17"/>
        </w:numPr>
        <w:rPr>
          <w:rFonts w:cs="Arial"/>
          <w:lang w:val="de-DE"/>
        </w:rPr>
      </w:pPr>
      <w:r w:rsidRPr="0083357F">
        <w:rPr>
          <w:rFonts w:cs="Arial"/>
          <w:lang w:val="de-DE"/>
        </w:rPr>
        <w:t>REP (erster Teil) mit -€30.000,00 (0310 Amt für Raumordnung und Raumplanung - 1/0310-72800 Kostenbeiträge (Kostenersätze) für Leistungen)</w:t>
      </w:r>
    </w:p>
    <w:p w14:paraId="5FFE9FF7" w14:textId="1E410352" w:rsidR="003600C6" w:rsidRPr="0083357F" w:rsidRDefault="003600C6" w:rsidP="003600C6">
      <w:pPr>
        <w:pStyle w:val="ListParagraph"/>
        <w:numPr>
          <w:ilvl w:val="0"/>
          <w:numId w:val="17"/>
        </w:numPr>
        <w:rPr>
          <w:rFonts w:cs="Arial"/>
          <w:color w:val="000000"/>
          <w:lang w:val="de-DE" w:eastAsia="en-GB"/>
        </w:rPr>
      </w:pPr>
      <w:r w:rsidRPr="0083357F">
        <w:rPr>
          <w:rFonts w:cs="Arial"/>
          <w:color w:val="000000"/>
          <w:lang w:val="de-DE" w:eastAsia="en-GB"/>
        </w:rPr>
        <w:t xml:space="preserve">Krankenpflegeverein </w:t>
      </w:r>
      <w:r w:rsidR="005D33F0" w:rsidRPr="0083357F">
        <w:rPr>
          <w:rFonts w:cs="Arial"/>
          <w:color w:val="000000"/>
          <w:lang w:val="de-DE" w:eastAsia="en-GB"/>
        </w:rPr>
        <w:t xml:space="preserve">ist erhöht </w:t>
      </w:r>
      <w:r w:rsidRPr="0083357F">
        <w:rPr>
          <w:rFonts w:cs="Arial"/>
          <w:color w:val="000000"/>
          <w:lang w:val="de-DE" w:eastAsia="en-GB"/>
        </w:rPr>
        <w:t>mit -€26.000,00 (1/5100-75700 Transfers an private Organisationen ohne Erwerbszweck (Krankenpflegeverein) )</w:t>
      </w:r>
    </w:p>
    <w:p w14:paraId="406622DC" w14:textId="465C5A3D" w:rsidR="00D10CD0" w:rsidRPr="0083357F" w:rsidRDefault="00E05C71" w:rsidP="00D10CD0">
      <w:pPr>
        <w:pStyle w:val="ListParagraph"/>
        <w:numPr>
          <w:ilvl w:val="0"/>
          <w:numId w:val="17"/>
        </w:numPr>
        <w:rPr>
          <w:rFonts w:cs="Arial"/>
          <w:lang w:val="de-DE"/>
        </w:rPr>
      </w:pPr>
      <w:r w:rsidRPr="0083357F">
        <w:rPr>
          <w:rFonts w:cs="Arial"/>
          <w:lang w:val="de-DE"/>
        </w:rPr>
        <w:t>Neue Gemeindeinformation mit -€15.000,00 (</w:t>
      </w:r>
      <w:r w:rsidR="00D10CD0" w:rsidRPr="0083357F">
        <w:rPr>
          <w:rFonts w:cs="Arial"/>
          <w:lang w:val="de-DE"/>
        </w:rPr>
        <w:t>0150 Pressestelle, Amtsblatt und Öffentlichkeitsarbeit</w:t>
      </w:r>
      <w:r w:rsidR="00E56FC6" w:rsidRPr="0083357F">
        <w:rPr>
          <w:rFonts w:cs="Arial"/>
          <w:lang w:val="de-DE"/>
        </w:rPr>
        <w:t xml:space="preserve"> -</w:t>
      </w:r>
      <w:r w:rsidR="00D10CD0" w:rsidRPr="0083357F">
        <w:rPr>
          <w:rFonts w:cs="Arial"/>
          <w:lang w:val="de-DE"/>
        </w:rPr>
        <w:t xml:space="preserve"> 1/0150-72900 Sonstige Aufwendungen (Gemeindeinformation)</w:t>
      </w:r>
      <w:r w:rsidRPr="0083357F">
        <w:rPr>
          <w:rFonts w:cs="Arial"/>
          <w:lang w:val="de-DE"/>
        </w:rPr>
        <w:t>)</w:t>
      </w:r>
    </w:p>
    <w:p w14:paraId="12B8789B" w14:textId="15479674" w:rsidR="003600C6" w:rsidRPr="0083357F" w:rsidRDefault="00D32FF3" w:rsidP="003600C6">
      <w:pPr>
        <w:pStyle w:val="ListParagraph"/>
        <w:numPr>
          <w:ilvl w:val="0"/>
          <w:numId w:val="17"/>
        </w:numPr>
        <w:rPr>
          <w:rFonts w:cs="Arial"/>
          <w:color w:val="000000"/>
          <w:lang w:val="de-DE" w:eastAsia="en-GB"/>
        </w:rPr>
      </w:pPr>
      <w:r w:rsidRPr="0083357F">
        <w:rPr>
          <w:rFonts w:cs="Arial"/>
          <w:color w:val="000000"/>
          <w:lang w:val="de-DE" w:eastAsia="en-GB"/>
        </w:rPr>
        <w:t xml:space="preserve">E5 Projekt mit in Summe </w:t>
      </w:r>
      <w:r w:rsidR="00915D78" w:rsidRPr="0083357F">
        <w:rPr>
          <w:rFonts w:cs="Arial"/>
          <w:color w:val="000000"/>
          <w:lang w:val="de-DE" w:eastAsia="en-GB"/>
        </w:rPr>
        <w:t>-</w:t>
      </w:r>
      <w:r w:rsidRPr="0083357F">
        <w:rPr>
          <w:rFonts w:cs="Arial"/>
          <w:color w:val="000000"/>
          <w:lang w:val="de-DE" w:eastAsia="en-GB"/>
        </w:rPr>
        <w:t>15.000,00 (</w:t>
      </w:r>
      <w:r w:rsidR="003600C6" w:rsidRPr="0083357F">
        <w:rPr>
          <w:rFonts w:cs="Arial"/>
          <w:color w:val="000000"/>
          <w:lang w:val="de-DE" w:eastAsia="en-GB"/>
        </w:rPr>
        <w:t xml:space="preserve">52 Umweltschutz </w:t>
      </w:r>
      <w:r w:rsidRPr="0083357F">
        <w:rPr>
          <w:rFonts w:cs="Arial"/>
          <w:color w:val="000000"/>
          <w:lang w:val="de-DE" w:eastAsia="en-GB"/>
        </w:rPr>
        <w:t xml:space="preserve">- </w:t>
      </w:r>
      <w:r w:rsidR="003600C6" w:rsidRPr="0083357F">
        <w:rPr>
          <w:rFonts w:cs="Arial"/>
          <w:color w:val="000000"/>
          <w:lang w:val="de-DE" w:eastAsia="en-GB"/>
        </w:rPr>
        <w:t xml:space="preserve">5290 Sonstige Einrichtungen und Maßnahmen </w:t>
      </w:r>
      <w:r w:rsidRPr="0083357F">
        <w:rPr>
          <w:rFonts w:cs="Arial"/>
          <w:color w:val="000000"/>
          <w:lang w:val="de-DE" w:eastAsia="en-GB"/>
        </w:rPr>
        <w:t xml:space="preserve">- </w:t>
      </w:r>
      <w:r w:rsidR="003600C6" w:rsidRPr="0083357F">
        <w:rPr>
          <w:rFonts w:cs="Arial"/>
          <w:color w:val="000000"/>
          <w:lang w:val="de-DE" w:eastAsia="en-GB"/>
        </w:rPr>
        <w:t>1/5290-72600 Mitgliedsbeiträge an Institutionen (e5) -€6.000,00 und 1/5290-72900 Sonstige Aufwendungen (e5) -€9.000,00</w:t>
      </w:r>
    </w:p>
    <w:p w14:paraId="51BE26DE" w14:textId="0E8016A2" w:rsidR="003600C6" w:rsidRPr="0083357F" w:rsidRDefault="00D32FF3" w:rsidP="00D10CD0">
      <w:pPr>
        <w:pStyle w:val="ListParagraph"/>
        <w:numPr>
          <w:ilvl w:val="0"/>
          <w:numId w:val="17"/>
        </w:numPr>
        <w:rPr>
          <w:rFonts w:cs="Arial"/>
          <w:lang w:val="de-DE"/>
        </w:rPr>
      </w:pPr>
      <w:r w:rsidRPr="0083357F">
        <w:rPr>
          <w:rFonts w:cs="Arial"/>
          <w:lang w:val="de-DE"/>
        </w:rPr>
        <w:t>Aufwand für Rechtsberatung ist reduziert (</w:t>
      </w:r>
      <w:r w:rsidR="00D10CD0" w:rsidRPr="0083357F">
        <w:rPr>
          <w:rFonts w:cs="Arial"/>
          <w:lang w:val="de-DE"/>
        </w:rPr>
        <w:t xml:space="preserve">0100 Gemeindeamt </w:t>
      </w:r>
      <w:r w:rsidRPr="0083357F">
        <w:rPr>
          <w:rFonts w:cs="Arial"/>
          <w:lang w:val="de-DE"/>
        </w:rPr>
        <w:t xml:space="preserve">- </w:t>
      </w:r>
      <w:r w:rsidR="00D10CD0" w:rsidRPr="0083357F">
        <w:rPr>
          <w:rFonts w:cs="Arial"/>
          <w:lang w:val="de-DE"/>
        </w:rPr>
        <w:t>1/0100-64000 Rechts- und Beratungsaufwand -€10.000,00</w:t>
      </w:r>
      <w:r w:rsidRPr="0083357F">
        <w:rPr>
          <w:rFonts w:cs="Arial"/>
          <w:lang w:val="de-DE"/>
        </w:rPr>
        <w:t>)</w:t>
      </w:r>
    </w:p>
    <w:p w14:paraId="5F80C856" w14:textId="6D8F7A1F" w:rsidR="00D10CD0" w:rsidRPr="0083357F" w:rsidRDefault="00D32FF3" w:rsidP="00D10CD0">
      <w:pPr>
        <w:pStyle w:val="ListParagraph"/>
        <w:numPr>
          <w:ilvl w:val="0"/>
          <w:numId w:val="17"/>
        </w:numPr>
        <w:rPr>
          <w:rFonts w:cs="Arial"/>
          <w:lang w:val="de-DE"/>
        </w:rPr>
      </w:pPr>
      <w:r w:rsidRPr="0083357F">
        <w:rPr>
          <w:rFonts w:cs="Arial"/>
          <w:lang w:val="de-DE"/>
        </w:rPr>
        <w:t>Regionales Bauamt (</w:t>
      </w:r>
      <w:r w:rsidR="00D10CD0" w:rsidRPr="0083357F">
        <w:rPr>
          <w:rFonts w:cs="Arial"/>
          <w:lang w:val="de-DE"/>
        </w:rPr>
        <w:t xml:space="preserve">0300 Bauamt </w:t>
      </w:r>
      <w:r w:rsidRPr="0083357F">
        <w:rPr>
          <w:rFonts w:cs="Arial"/>
          <w:lang w:val="de-DE"/>
        </w:rPr>
        <w:t xml:space="preserve">- </w:t>
      </w:r>
      <w:r w:rsidR="00D10CD0" w:rsidRPr="0083357F">
        <w:rPr>
          <w:rFonts w:cs="Arial"/>
          <w:lang w:val="de-DE"/>
        </w:rPr>
        <w:t>1/0300-72010 Kostenbeiträge (Kostenersätze) für Leistungen (reg. Bauamt) -€10.000,00</w:t>
      </w:r>
      <w:r w:rsidRPr="0083357F">
        <w:rPr>
          <w:rFonts w:cs="Arial"/>
          <w:lang w:val="de-DE"/>
        </w:rPr>
        <w:t>)</w:t>
      </w:r>
    </w:p>
    <w:p w14:paraId="7E73795C" w14:textId="079F1BE3" w:rsidR="00D10CD0" w:rsidRPr="005A1296" w:rsidRDefault="00D32FF3" w:rsidP="005A1296">
      <w:pPr>
        <w:pStyle w:val="ListParagraph"/>
        <w:numPr>
          <w:ilvl w:val="0"/>
          <w:numId w:val="17"/>
        </w:numPr>
        <w:rPr>
          <w:rFonts w:cs="Arial"/>
          <w:lang w:val="de-DE"/>
        </w:rPr>
      </w:pPr>
      <w:r w:rsidRPr="0083357F">
        <w:rPr>
          <w:rFonts w:cs="Arial"/>
          <w:lang w:val="de-DE"/>
        </w:rPr>
        <w:t xml:space="preserve">Für den </w:t>
      </w:r>
      <w:r w:rsidR="006736A4" w:rsidRPr="0083357F">
        <w:rPr>
          <w:rFonts w:cs="Arial"/>
          <w:lang w:val="de-DE"/>
        </w:rPr>
        <w:t>Winzersaal</w:t>
      </w:r>
      <w:r w:rsidRPr="0083357F">
        <w:rPr>
          <w:rFonts w:cs="Arial"/>
          <w:lang w:val="de-DE"/>
        </w:rPr>
        <w:t xml:space="preserve"> </w:t>
      </w:r>
      <w:r w:rsidR="005A1296">
        <w:rPr>
          <w:rFonts w:cs="Arial"/>
          <w:lang w:val="de-DE"/>
        </w:rPr>
        <w:t>soll</w:t>
      </w:r>
      <w:r w:rsidRPr="0083357F">
        <w:rPr>
          <w:rFonts w:cs="Arial"/>
          <w:lang w:val="de-DE"/>
        </w:rPr>
        <w:t xml:space="preserve"> nur ein Sanierungskonzept um 5.000,00 erstellt</w:t>
      </w:r>
      <w:r w:rsidR="005A1296">
        <w:rPr>
          <w:rFonts w:cs="Arial"/>
          <w:lang w:val="de-DE"/>
        </w:rPr>
        <w:t xml:space="preserve"> werden</w:t>
      </w:r>
      <w:r w:rsidRPr="0083357F">
        <w:rPr>
          <w:rFonts w:cs="Arial"/>
          <w:lang w:val="de-DE"/>
        </w:rPr>
        <w:t xml:space="preserve"> und </w:t>
      </w:r>
      <w:r w:rsidR="005A1296">
        <w:rPr>
          <w:rFonts w:cs="Arial"/>
          <w:lang w:val="de-DE"/>
        </w:rPr>
        <w:t xml:space="preserve">es sind </w:t>
      </w:r>
      <w:r w:rsidRPr="0083357F">
        <w:rPr>
          <w:rFonts w:cs="Arial"/>
          <w:lang w:val="de-DE"/>
        </w:rPr>
        <w:t xml:space="preserve">keine </w:t>
      </w:r>
      <w:r w:rsidR="00915D78" w:rsidRPr="0083357F">
        <w:rPr>
          <w:rFonts w:cs="Arial"/>
          <w:lang w:val="de-DE"/>
        </w:rPr>
        <w:t xml:space="preserve">größeren </w:t>
      </w:r>
      <w:r w:rsidRPr="0083357F">
        <w:rPr>
          <w:rFonts w:cs="Arial"/>
          <w:lang w:val="de-DE"/>
        </w:rPr>
        <w:t>einmaligen Instandhaltungen für 202</w:t>
      </w:r>
      <w:r w:rsidR="005A1296">
        <w:rPr>
          <w:rFonts w:cs="Arial"/>
          <w:lang w:val="de-DE"/>
        </w:rPr>
        <w:t>1</w:t>
      </w:r>
      <w:r w:rsidRPr="0083357F">
        <w:rPr>
          <w:rFonts w:cs="Arial"/>
          <w:lang w:val="de-DE"/>
        </w:rPr>
        <w:t xml:space="preserve"> geplant</w:t>
      </w:r>
      <w:r w:rsidR="005A1296">
        <w:rPr>
          <w:rFonts w:cs="Arial"/>
          <w:lang w:val="de-DE"/>
        </w:rPr>
        <w:t xml:space="preserve"> (</w:t>
      </w:r>
      <w:r w:rsidR="005A1296" w:rsidRPr="005A1296">
        <w:rPr>
          <w:rFonts w:cs="Arial"/>
          <w:lang w:val="de-DE"/>
        </w:rPr>
        <w:t>3800 Einrichtungen der Kulturpflege</w:t>
      </w:r>
      <w:r w:rsidR="005A1296">
        <w:rPr>
          <w:rFonts w:cs="Arial"/>
          <w:lang w:val="de-DE"/>
        </w:rPr>
        <w:t xml:space="preserve"> - </w:t>
      </w:r>
      <w:r w:rsidR="005A1296" w:rsidRPr="005A1296">
        <w:rPr>
          <w:rFonts w:cs="Arial"/>
          <w:lang w:val="de-DE"/>
        </w:rPr>
        <w:t>1/3800-61490 Instandhaltung von Gebäuden und</w:t>
      </w:r>
      <w:r w:rsidR="005A1296">
        <w:rPr>
          <w:rFonts w:cs="Arial"/>
          <w:lang w:val="de-DE"/>
        </w:rPr>
        <w:t xml:space="preserve"> </w:t>
      </w:r>
      <w:r w:rsidR="005A1296" w:rsidRPr="005A1296">
        <w:rPr>
          <w:rFonts w:cs="Arial"/>
          <w:lang w:val="de-DE"/>
        </w:rPr>
        <w:t>Bauten</w:t>
      </w:r>
      <w:r w:rsidR="005A1296">
        <w:rPr>
          <w:rFonts w:cs="Arial"/>
          <w:lang w:val="de-DE"/>
        </w:rPr>
        <w:t xml:space="preserve"> 5.000,00)</w:t>
      </w:r>
      <w:r w:rsidRPr="005A1296">
        <w:rPr>
          <w:rFonts w:cs="Arial"/>
          <w:lang w:val="de-DE"/>
        </w:rPr>
        <w:t xml:space="preserve"> (</w:t>
      </w:r>
      <w:r w:rsidRPr="005A1296">
        <w:rPr>
          <w:rFonts w:cs="Arial"/>
          <w:color w:val="000000"/>
          <w:lang w:val="de-DE" w:eastAsia="en-GB"/>
        </w:rPr>
        <w:t>Trennwand und Austausch Beleuchtung wurden verschoben</w:t>
      </w:r>
      <w:r w:rsidRPr="005A1296">
        <w:rPr>
          <w:rFonts w:cs="Arial"/>
          <w:lang w:val="de-DE"/>
        </w:rPr>
        <w:t>).</w:t>
      </w:r>
    </w:p>
    <w:p w14:paraId="3C427432" w14:textId="61669D34" w:rsidR="00AB6236" w:rsidRPr="0083357F" w:rsidRDefault="00AB6236" w:rsidP="00AB6236">
      <w:pPr>
        <w:pStyle w:val="Heading2"/>
        <w:numPr>
          <w:ilvl w:val="0"/>
          <w:numId w:val="0"/>
        </w:numPr>
        <w:rPr>
          <w:rFonts w:cs="Arial"/>
          <w:sz w:val="20"/>
          <w:lang w:val="de-DE"/>
        </w:rPr>
      </w:pPr>
      <w:r w:rsidRPr="0083357F">
        <w:rPr>
          <w:rFonts w:cs="Arial"/>
          <w:sz w:val="20"/>
          <w:lang w:val="de-DE"/>
        </w:rPr>
        <w:t>Dienstleistungen</w:t>
      </w:r>
    </w:p>
    <w:p w14:paraId="5CB031E6" w14:textId="1E94C172" w:rsidR="00011C35" w:rsidRPr="0083357F" w:rsidRDefault="00EC0605" w:rsidP="002601EF">
      <w:pPr>
        <w:pStyle w:val="ListParagraph"/>
        <w:numPr>
          <w:ilvl w:val="0"/>
          <w:numId w:val="26"/>
        </w:numPr>
        <w:rPr>
          <w:rFonts w:cs="Arial"/>
          <w:lang w:val="de-DE" w:eastAsia="en-GB"/>
        </w:rPr>
      </w:pPr>
      <w:r>
        <w:rPr>
          <w:rFonts w:cs="Arial"/>
          <w:lang w:val="de-DE" w:eastAsia="en-GB"/>
        </w:rPr>
        <w:t xml:space="preserve"> Bet</w:t>
      </w:r>
      <w:r w:rsidR="00011C35" w:rsidRPr="0083357F">
        <w:rPr>
          <w:rFonts w:cs="Arial"/>
          <w:lang w:val="de-DE" w:eastAsia="en-GB"/>
        </w:rPr>
        <w:t>riebe der Wasserversorgung</w:t>
      </w:r>
    </w:p>
    <w:p w14:paraId="5538477A" w14:textId="2604B0EE" w:rsidR="00E56FC6" w:rsidRPr="0083357F" w:rsidRDefault="002601EF" w:rsidP="002601EF">
      <w:pPr>
        <w:pStyle w:val="ListParagraph"/>
        <w:numPr>
          <w:ilvl w:val="0"/>
          <w:numId w:val="24"/>
        </w:numPr>
        <w:rPr>
          <w:rFonts w:cs="Arial"/>
          <w:lang w:val="de-DE" w:eastAsia="en-GB"/>
        </w:rPr>
      </w:pPr>
      <w:r w:rsidRPr="0083357F">
        <w:rPr>
          <w:rFonts w:cs="Arial"/>
          <w:lang w:val="de-DE" w:eastAsia="en-GB"/>
        </w:rPr>
        <w:t>Einnahmen aus Gebühren von 235.000,00 (2020: 200.000,00) (</w:t>
      </w:r>
      <w:r w:rsidR="00E56FC6" w:rsidRPr="0083357F">
        <w:rPr>
          <w:rFonts w:cs="Arial"/>
          <w:lang w:val="de-DE" w:eastAsia="en-GB"/>
        </w:rPr>
        <w:t>2/8500+85200 Bezugsgebühren, Zählermieten</w:t>
      </w:r>
      <w:r w:rsidRPr="0083357F">
        <w:rPr>
          <w:rFonts w:cs="Arial"/>
          <w:lang w:val="de-DE" w:eastAsia="en-GB"/>
        </w:rPr>
        <w:t>) ergeben einen Saldo von -</w:t>
      </w:r>
      <w:r w:rsidR="00E10B58" w:rsidRPr="00E10B58">
        <w:rPr>
          <w:rFonts w:cs="Arial"/>
          <w:lang w:val="de-DE" w:eastAsia="en-GB"/>
        </w:rPr>
        <w:t>118.400,00</w:t>
      </w:r>
      <w:r w:rsidRPr="0083357F">
        <w:rPr>
          <w:rFonts w:cs="Arial"/>
          <w:lang w:val="de-DE" w:eastAsia="en-GB"/>
        </w:rPr>
        <w:t>.</w:t>
      </w:r>
    </w:p>
    <w:p w14:paraId="799F3C42" w14:textId="4E6A4598" w:rsidR="00391BC1" w:rsidRPr="0083357F" w:rsidRDefault="002601EF" w:rsidP="00391BC1">
      <w:pPr>
        <w:pStyle w:val="ListParagraph"/>
        <w:numPr>
          <w:ilvl w:val="0"/>
          <w:numId w:val="24"/>
        </w:numPr>
        <w:rPr>
          <w:rFonts w:cs="Arial"/>
          <w:lang w:val="de-DE" w:eastAsia="en-GB"/>
        </w:rPr>
      </w:pPr>
      <w:r w:rsidRPr="0083357F">
        <w:rPr>
          <w:rFonts w:cs="Arial"/>
          <w:lang w:val="de-DE" w:eastAsia="en-GB"/>
        </w:rPr>
        <w:t xml:space="preserve">D.h. dass die Wasserbezugsgebühren um </w:t>
      </w:r>
      <w:r w:rsidR="00E10B58">
        <w:rPr>
          <w:rFonts w:cs="Arial"/>
          <w:lang w:val="de-DE" w:eastAsia="en-GB"/>
        </w:rPr>
        <w:t>5</w:t>
      </w:r>
      <w:r w:rsidRPr="0083357F">
        <w:rPr>
          <w:rFonts w:cs="Arial"/>
          <w:lang w:val="de-DE" w:eastAsia="en-GB"/>
        </w:rPr>
        <w:t>0% erhöht werden müssten, damit die Wasserversorgung kostendeckend wäre.</w:t>
      </w:r>
    </w:p>
    <w:p w14:paraId="4DCB6873" w14:textId="4951DAA9" w:rsidR="00E56FC6" w:rsidRPr="00BF5980" w:rsidRDefault="002601EF" w:rsidP="00BF5980">
      <w:pPr>
        <w:pStyle w:val="ListParagraph"/>
        <w:numPr>
          <w:ilvl w:val="0"/>
          <w:numId w:val="24"/>
        </w:numPr>
        <w:rPr>
          <w:rFonts w:cs="Arial"/>
          <w:lang w:val="de-DE" w:eastAsia="en-GB"/>
        </w:rPr>
      </w:pPr>
      <w:r w:rsidRPr="0083357F">
        <w:rPr>
          <w:rFonts w:cs="Arial"/>
          <w:lang w:val="de-DE" w:eastAsia="en-GB"/>
        </w:rPr>
        <w:t xml:space="preserve">Die Transferzahlungen an den </w:t>
      </w:r>
      <w:r w:rsidR="003600C6" w:rsidRPr="0083357F">
        <w:rPr>
          <w:rFonts w:cs="Arial"/>
          <w:lang w:val="de-DE" w:eastAsia="en-GB"/>
        </w:rPr>
        <w:t>Gemeindeverband Gruppenwasserversorgung</w:t>
      </w:r>
      <w:r w:rsidRPr="0083357F">
        <w:rPr>
          <w:rFonts w:cs="Arial"/>
          <w:lang w:val="de-DE" w:eastAsia="en-GB"/>
        </w:rPr>
        <w:t xml:space="preserve"> entsprechen</w:t>
      </w:r>
      <w:r w:rsidR="00391BC1" w:rsidRPr="0083357F">
        <w:rPr>
          <w:rFonts w:cs="Arial"/>
          <w:lang w:val="de-DE" w:eastAsia="en-GB"/>
        </w:rPr>
        <w:t xml:space="preserve"> </w:t>
      </w:r>
      <w:r w:rsidRPr="0083357F">
        <w:rPr>
          <w:rFonts w:cs="Arial"/>
          <w:lang w:val="de-DE" w:eastAsia="en-GB"/>
        </w:rPr>
        <w:t>dem Vora</w:t>
      </w:r>
      <w:r w:rsidR="00391BC1" w:rsidRPr="0083357F">
        <w:rPr>
          <w:rFonts w:cs="Arial"/>
          <w:lang w:val="de-DE" w:eastAsia="en-GB"/>
        </w:rPr>
        <w:t>n</w:t>
      </w:r>
      <w:r w:rsidRPr="0083357F">
        <w:rPr>
          <w:rFonts w:cs="Arial"/>
          <w:lang w:val="de-DE" w:eastAsia="en-GB"/>
        </w:rPr>
        <w:t>schlag des Gemeindeverbandes.</w:t>
      </w:r>
      <w:r w:rsidR="00391BC1" w:rsidRPr="0083357F">
        <w:rPr>
          <w:rFonts w:cs="Arial"/>
          <w:lang w:val="de-DE" w:eastAsia="en-GB"/>
        </w:rPr>
        <w:t xml:space="preserve"> (1/8500-75510 Transfers an Unternehmen (ohne Finanzunternehmen) und andere (Betriebskosten- und Zinsanteile) -</w:t>
      </w:r>
      <w:r w:rsidR="00BF5980" w:rsidRPr="00BF5980">
        <w:rPr>
          <w:rFonts w:cs="Arial"/>
          <w:lang w:val="de-DE" w:eastAsia="en-GB"/>
        </w:rPr>
        <w:t>50.000,00</w:t>
      </w:r>
      <w:r w:rsidR="00391BC1" w:rsidRPr="0083357F">
        <w:rPr>
          <w:rFonts w:cs="Arial"/>
          <w:lang w:val="de-DE" w:eastAsia="en-GB"/>
        </w:rPr>
        <w:t xml:space="preserve">, </w:t>
      </w:r>
      <w:r w:rsidR="00BF5980" w:rsidRPr="0083357F">
        <w:rPr>
          <w:rFonts w:cs="Arial"/>
          <w:lang w:val="de-DE" w:eastAsia="en-GB"/>
        </w:rPr>
        <w:t xml:space="preserve">1/8500-75520 Transfers an Unternehmen (ohne Finanzunternehmen) und andere </w:t>
      </w:r>
      <w:r w:rsidR="00BF5980" w:rsidRPr="0083357F">
        <w:rPr>
          <w:rFonts w:cs="Arial"/>
          <w:lang w:val="de-DE" w:eastAsia="en-GB"/>
        </w:rPr>
        <w:lastRenderedPageBreak/>
        <w:t xml:space="preserve">(Tilgungsanteile) </w:t>
      </w:r>
      <w:r w:rsidR="00BF5980">
        <w:rPr>
          <w:rFonts w:cs="Arial"/>
          <w:lang w:val="de-DE" w:eastAsia="en-GB"/>
        </w:rPr>
        <w:t>-</w:t>
      </w:r>
      <w:r w:rsidR="00BF5980" w:rsidRPr="00BF5980">
        <w:rPr>
          <w:rFonts w:cs="Arial"/>
          <w:lang w:val="de-DE" w:eastAsia="en-GB"/>
        </w:rPr>
        <w:t>69.000,00</w:t>
      </w:r>
      <w:r w:rsidR="00BF5980" w:rsidRPr="0083357F">
        <w:rPr>
          <w:rFonts w:cs="Arial"/>
          <w:lang w:val="de-DE" w:eastAsia="en-GB"/>
        </w:rPr>
        <w:t xml:space="preserve">, </w:t>
      </w:r>
      <w:r w:rsidR="00BF5980" w:rsidRPr="00BF5980">
        <w:rPr>
          <w:rFonts w:cs="Arial"/>
          <w:lang w:val="de-DE" w:eastAsia="en-GB"/>
        </w:rPr>
        <w:t>1/8500-77500 Kapitaltransfers an Unternehmen</w:t>
      </w:r>
      <w:r w:rsidR="00BF5980">
        <w:rPr>
          <w:rFonts w:cs="Arial"/>
          <w:lang w:val="de-DE" w:eastAsia="en-GB"/>
        </w:rPr>
        <w:t xml:space="preserve"> </w:t>
      </w:r>
      <w:r w:rsidR="00BF5980" w:rsidRPr="00BF5980">
        <w:rPr>
          <w:rFonts w:cs="Arial"/>
          <w:lang w:val="de-DE" w:eastAsia="en-GB"/>
        </w:rPr>
        <w:t>(ohne</w:t>
      </w:r>
      <w:r w:rsidR="00BF5980">
        <w:rPr>
          <w:rFonts w:cs="Arial"/>
          <w:lang w:val="de-DE" w:eastAsia="en-GB"/>
        </w:rPr>
        <w:t xml:space="preserve"> </w:t>
      </w:r>
      <w:r w:rsidR="00BF5980" w:rsidRPr="00BF5980">
        <w:rPr>
          <w:rFonts w:cs="Arial"/>
          <w:lang w:val="de-DE" w:eastAsia="en-GB"/>
        </w:rPr>
        <w:t>Finanzunternehmen) und andere</w:t>
      </w:r>
      <w:r w:rsidR="00BF5980">
        <w:rPr>
          <w:rFonts w:cs="Arial"/>
          <w:lang w:val="de-DE" w:eastAsia="en-GB"/>
        </w:rPr>
        <w:t xml:space="preserve"> </w:t>
      </w:r>
      <w:r w:rsidR="00BF5980" w:rsidRPr="00BF5980">
        <w:rPr>
          <w:rFonts w:cs="Arial"/>
          <w:lang w:val="de-DE" w:eastAsia="en-GB"/>
        </w:rPr>
        <w:t>(Investitionsanteile an</w:t>
      </w:r>
      <w:r w:rsidR="00BF5980">
        <w:rPr>
          <w:rFonts w:cs="Arial"/>
          <w:lang w:val="de-DE" w:eastAsia="en-GB"/>
        </w:rPr>
        <w:t xml:space="preserve"> </w:t>
      </w:r>
      <w:r w:rsidR="00BF5980" w:rsidRPr="00BF5980">
        <w:rPr>
          <w:rFonts w:cs="Arial"/>
          <w:lang w:val="de-DE" w:eastAsia="en-GB"/>
        </w:rPr>
        <w:t>Wasserverbände)</w:t>
      </w:r>
      <w:r w:rsidR="00391BC1" w:rsidRPr="00BF5980">
        <w:rPr>
          <w:rFonts w:cs="Arial"/>
          <w:lang w:val="de-DE" w:eastAsia="en-GB"/>
        </w:rPr>
        <w:t xml:space="preserve"> -€</w:t>
      </w:r>
      <w:r w:rsidR="00BF5980" w:rsidRPr="00BF5980">
        <w:rPr>
          <w:rFonts w:cs="Arial"/>
          <w:lang w:val="de-DE" w:eastAsia="en-GB"/>
        </w:rPr>
        <w:t>70.000,00</w:t>
      </w:r>
      <w:r w:rsidR="00391BC1" w:rsidRPr="00BF5980">
        <w:rPr>
          <w:rFonts w:cs="Arial"/>
          <w:lang w:val="de-DE" w:eastAsia="en-GB"/>
        </w:rPr>
        <w:t>)</w:t>
      </w:r>
    </w:p>
    <w:p w14:paraId="2A3C2881" w14:textId="77777777" w:rsidR="00011C35" w:rsidRPr="0083357F" w:rsidRDefault="00011C35" w:rsidP="00011C35">
      <w:pPr>
        <w:ind w:firstLineChars="200" w:firstLine="400"/>
        <w:rPr>
          <w:rFonts w:cs="Arial"/>
          <w:lang w:val="de-DE" w:eastAsia="en-GB"/>
        </w:rPr>
      </w:pPr>
    </w:p>
    <w:p w14:paraId="3BA58A82" w14:textId="0FDDD3CD" w:rsidR="00011C35" w:rsidRPr="0083357F" w:rsidRDefault="00011C35" w:rsidP="00011C35">
      <w:pPr>
        <w:ind w:firstLineChars="200" w:firstLine="400"/>
        <w:rPr>
          <w:rFonts w:cs="Arial"/>
          <w:lang w:val="de-DE" w:eastAsia="en-GB"/>
        </w:rPr>
      </w:pPr>
      <w:r w:rsidRPr="0083357F">
        <w:rPr>
          <w:rFonts w:cs="Arial"/>
          <w:lang w:val="de-DE" w:eastAsia="en-GB"/>
        </w:rPr>
        <w:t>8510 Betriebe der Abwasserbeseitigung</w:t>
      </w:r>
    </w:p>
    <w:p w14:paraId="260B791A" w14:textId="40DD6AB9" w:rsidR="00011C35" w:rsidRPr="0083357F" w:rsidRDefault="002601EF" w:rsidP="00E56FC6">
      <w:pPr>
        <w:pStyle w:val="ListParagraph"/>
        <w:numPr>
          <w:ilvl w:val="0"/>
          <w:numId w:val="23"/>
        </w:numPr>
        <w:rPr>
          <w:rFonts w:cs="Arial"/>
          <w:lang w:val="de-DE" w:eastAsia="en-GB"/>
        </w:rPr>
      </w:pPr>
      <w:r w:rsidRPr="0083357F">
        <w:rPr>
          <w:rFonts w:cs="Arial"/>
          <w:lang w:val="de-DE" w:eastAsia="en-GB"/>
        </w:rPr>
        <w:t>Einnahmen aus Gebühren von 480.000,00 (2020: 420.000,00) (</w:t>
      </w:r>
      <w:r w:rsidR="00E56FC6" w:rsidRPr="0083357F">
        <w:rPr>
          <w:rFonts w:cs="Arial"/>
          <w:lang w:val="de-DE" w:eastAsia="en-GB"/>
        </w:rPr>
        <w:t>2/8510+85200 Benützungsgebühren</w:t>
      </w:r>
      <w:r w:rsidRPr="0083357F">
        <w:rPr>
          <w:rFonts w:cs="Arial"/>
          <w:lang w:val="de-DE" w:eastAsia="en-GB"/>
        </w:rPr>
        <w:t>) ergeben einen Saldo von -€191.400,00.</w:t>
      </w:r>
    </w:p>
    <w:p w14:paraId="671A172C" w14:textId="77777777" w:rsidR="008824D7" w:rsidRPr="0083357F" w:rsidRDefault="002601EF" w:rsidP="008824D7">
      <w:pPr>
        <w:pStyle w:val="ListParagraph"/>
        <w:numPr>
          <w:ilvl w:val="0"/>
          <w:numId w:val="24"/>
        </w:numPr>
        <w:rPr>
          <w:rFonts w:cs="Arial"/>
          <w:lang w:val="de-DE" w:eastAsia="en-GB"/>
        </w:rPr>
      </w:pPr>
      <w:r w:rsidRPr="0083357F">
        <w:rPr>
          <w:rFonts w:cs="Arial"/>
          <w:lang w:val="de-DE" w:eastAsia="en-GB"/>
        </w:rPr>
        <w:t>D.h. dass die Kanalgebühren um 40% erhöht werden müssten, damit der Kanal kostendeckend wäre.</w:t>
      </w:r>
    </w:p>
    <w:p w14:paraId="74CA8173" w14:textId="7E204B6B" w:rsidR="008824D7" w:rsidRPr="0083357F" w:rsidRDefault="002601EF" w:rsidP="008824D7">
      <w:pPr>
        <w:pStyle w:val="ListParagraph"/>
        <w:numPr>
          <w:ilvl w:val="0"/>
          <w:numId w:val="24"/>
        </w:numPr>
        <w:rPr>
          <w:rFonts w:cs="Arial"/>
          <w:lang w:val="de-DE" w:eastAsia="en-GB"/>
        </w:rPr>
      </w:pPr>
      <w:r w:rsidRPr="0083357F">
        <w:rPr>
          <w:rFonts w:cs="Arial"/>
          <w:lang w:val="de-DE" w:eastAsia="en-GB"/>
        </w:rPr>
        <w:t>Die Transferzahlungen an den Gemeindeverband ARA entsprechen dem Vor</w:t>
      </w:r>
      <w:r w:rsidR="008824D7" w:rsidRPr="0083357F">
        <w:rPr>
          <w:rFonts w:cs="Arial"/>
          <w:lang w:val="de-DE" w:eastAsia="en-GB"/>
        </w:rPr>
        <w:t>a</w:t>
      </w:r>
      <w:r w:rsidRPr="0083357F">
        <w:rPr>
          <w:rFonts w:cs="Arial"/>
          <w:lang w:val="de-DE" w:eastAsia="en-GB"/>
        </w:rPr>
        <w:t>nschlag des Gemeindeverbandes werden aber anders verbucht wie früher.</w:t>
      </w:r>
      <w:r w:rsidR="008824D7" w:rsidRPr="0083357F">
        <w:rPr>
          <w:rFonts w:cs="Arial"/>
          <w:lang w:val="de-DE" w:eastAsia="en-GB"/>
        </w:rPr>
        <w:t xml:space="preserve"> (1/8510-75510 Transfers an Unternehmen (ohne Finanzunternehmen) und andere (Betriebskosten- und Zinsanteile) -€201.400,00, 1/8510-75520 Transfers an Unternehmen (ohne Finanzunternehmen) und andere (Tilgungsanteile) -€53.600,00)</w:t>
      </w:r>
    </w:p>
    <w:p w14:paraId="0AC6F107" w14:textId="1376F7CA" w:rsidR="002601EF" w:rsidRPr="0083357F" w:rsidRDefault="002601EF" w:rsidP="008824D7">
      <w:pPr>
        <w:rPr>
          <w:rFonts w:cs="Arial"/>
          <w:lang w:val="de-DE" w:eastAsia="en-GB"/>
        </w:rPr>
      </w:pPr>
    </w:p>
    <w:p w14:paraId="06E493FA" w14:textId="77777777" w:rsidR="00011C35" w:rsidRPr="0083357F" w:rsidRDefault="00011C35" w:rsidP="00011C35">
      <w:pPr>
        <w:ind w:firstLineChars="200" w:firstLine="400"/>
        <w:rPr>
          <w:rFonts w:cs="Arial"/>
          <w:lang w:val="de-DE" w:eastAsia="en-GB"/>
        </w:rPr>
      </w:pPr>
    </w:p>
    <w:p w14:paraId="1C46B425" w14:textId="468CD279" w:rsidR="00011C35" w:rsidRPr="0083357F" w:rsidRDefault="00011C35" w:rsidP="00011C35">
      <w:pPr>
        <w:ind w:firstLineChars="200" w:firstLine="400"/>
        <w:rPr>
          <w:rFonts w:cs="Arial"/>
          <w:lang w:val="en-GB" w:eastAsia="en-GB"/>
        </w:rPr>
      </w:pPr>
      <w:r w:rsidRPr="0083357F">
        <w:rPr>
          <w:rFonts w:cs="Arial"/>
          <w:lang w:val="en-GB" w:eastAsia="en-GB"/>
        </w:rPr>
        <w:t>8520 Betriebe der Müllbeseitigung</w:t>
      </w:r>
    </w:p>
    <w:p w14:paraId="237347AC" w14:textId="5D7BA17B" w:rsidR="00E56FC6" w:rsidRPr="0083357F" w:rsidRDefault="002601EF" w:rsidP="00E56FC6">
      <w:pPr>
        <w:pStyle w:val="ListParagraph"/>
        <w:numPr>
          <w:ilvl w:val="0"/>
          <w:numId w:val="25"/>
        </w:numPr>
        <w:rPr>
          <w:rFonts w:cs="Arial"/>
          <w:lang w:val="de-DE" w:eastAsia="en-GB"/>
        </w:rPr>
      </w:pPr>
      <w:r w:rsidRPr="0083357F">
        <w:rPr>
          <w:rFonts w:cs="Arial"/>
          <w:lang w:val="de-DE" w:eastAsia="en-GB"/>
        </w:rPr>
        <w:t>Einnahmen aus Gebühren von 140.000,00 (2020: 130.000,00) (</w:t>
      </w:r>
      <w:r w:rsidR="00E56FC6" w:rsidRPr="0083357F">
        <w:rPr>
          <w:rFonts w:cs="Arial"/>
          <w:lang w:val="de-DE" w:eastAsia="en-GB"/>
        </w:rPr>
        <w:t>2/8520+85200 Abfallgebühren</w:t>
      </w:r>
      <w:r w:rsidRPr="0083357F">
        <w:rPr>
          <w:rFonts w:cs="Arial"/>
          <w:lang w:val="de-DE" w:eastAsia="en-GB"/>
        </w:rPr>
        <w:t>) ergeben einen Saldo von -€67.900,00.</w:t>
      </w:r>
    </w:p>
    <w:p w14:paraId="204D01DD" w14:textId="03A3ADDB" w:rsidR="008824D7" w:rsidRPr="0083357F" w:rsidRDefault="002601EF" w:rsidP="008824D7">
      <w:pPr>
        <w:pStyle w:val="ListParagraph"/>
        <w:numPr>
          <w:ilvl w:val="0"/>
          <w:numId w:val="24"/>
        </w:numPr>
        <w:rPr>
          <w:rFonts w:cs="Arial"/>
          <w:lang w:val="de-DE" w:eastAsia="en-GB"/>
        </w:rPr>
      </w:pPr>
      <w:r w:rsidRPr="0083357F">
        <w:rPr>
          <w:rFonts w:cs="Arial"/>
          <w:lang w:val="de-DE" w:eastAsia="en-GB"/>
        </w:rPr>
        <w:t xml:space="preserve">D.h. dass die Abfallgebühren um 48,5% erhöht werden müssten, damit </w:t>
      </w:r>
      <w:r w:rsidR="00EC0605">
        <w:rPr>
          <w:rFonts w:cs="Arial"/>
          <w:lang w:val="de-DE" w:eastAsia="en-GB"/>
        </w:rPr>
        <w:t xml:space="preserve">die </w:t>
      </w:r>
      <w:r w:rsidR="00EC0605" w:rsidRPr="00EC0605">
        <w:rPr>
          <w:rFonts w:cs="Arial"/>
          <w:lang w:val="de-DE" w:eastAsia="en-GB"/>
        </w:rPr>
        <w:t>Müllbeseitigung</w:t>
      </w:r>
      <w:r w:rsidR="00EC0605" w:rsidRPr="0083357F">
        <w:rPr>
          <w:rFonts w:cs="Arial"/>
          <w:lang w:val="de-DE" w:eastAsia="en-GB"/>
        </w:rPr>
        <w:t xml:space="preserve"> </w:t>
      </w:r>
      <w:r w:rsidRPr="0083357F">
        <w:rPr>
          <w:rFonts w:cs="Arial"/>
          <w:lang w:val="de-DE" w:eastAsia="en-GB"/>
        </w:rPr>
        <w:t>kostendeckend wäre.</w:t>
      </w:r>
      <w:r w:rsidRPr="0083357F">
        <w:rPr>
          <w:rStyle w:val="FootnoteReference"/>
          <w:rFonts w:cs="Arial"/>
          <w:lang w:val="de-DE" w:eastAsia="en-GB"/>
        </w:rPr>
        <w:footnoteReference w:id="8"/>
      </w:r>
    </w:p>
    <w:p w14:paraId="45A2E13F" w14:textId="19696A12" w:rsidR="00011C35" w:rsidRPr="0083357F" w:rsidRDefault="002601EF" w:rsidP="008824D7">
      <w:pPr>
        <w:pStyle w:val="ListParagraph"/>
        <w:numPr>
          <w:ilvl w:val="0"/>
          <w:numId w:val="24"/>
        </w:numPr>
        <w:rPr>
          <w:rFonts w:cs="Arial"/>
          <w:lang w:val="de-DE" w:eastAsia="en-GB"/>
        </w:rPr>
      </w:pPr>
      <w:r w:rsidRPr="0083357F">
        <w:rPr>
          <w:rFonts w:cs="Arial"/>
          <w:lang w:val="de-DE" w:eastAsia="en-GB"/>
        </w:rPr>
        <w:t>Die Transferzahlungen an den Gemeindeverband ASZ entsprechen dem Vora</w:t>
      </w:r>
      <w:r w:rsidR="008824D7" w:rsidRPr="0083357F">
        <w:rPr>
          <w:rFonts w:cs="Arial"/>
          <w:lang w:val="de-DE" w:eastAsia="en-GB"/>
        </w:rPr>
        <w:t>n</w:t>
      </w:r>
      <w:r w:rsidRPr="0083357F">
        <w:rPr>
          <w:rFonts w:cs="Arial"/>
          <w:lang w:val="de-DE" w:eastAsia="en-GB"/>
        </w:rPr>
        <w:t>schlag des Gemeindeverbandes.</w:t>
      </w:r>
      <w:r w:rsidR="008824D7" w:rsidRPr="0083357F">
        <w:rPr>
          <w:rFonts w:cs="Arial"/>
          <w:lang w:val="de-DE" w:eastAsia="en-GB"/>
        </w:rPr>
        <w:t xml:space="preserve"> (1/8520-75510 Betriebskostenanteil an ASZ -€32.300,00, 1/8520-75520 Tilgungsanteil an ASZ -€12.300,00)</w:t>
      </w:r>
    </w:p>
    <w:p w14:paraId="4C1F56AD" w14:textId="4E33D387" w:rsidR="00AB6236" w:rsidRPr="0083357F" w:rsidRDefault="00011C35" w:rsidP="00AB6236">
      <w:pPr>
        <w:pStyle w:val="Heading2"/>
        <w:numPr>
          <w:ilvl w:val="0"/>
          <w:numId w:val="0"/>
        </w:numPr>
        <w:rPr>
          <w:rFonts w:cs="Arial"/>
          <w:sz w:val="20"/>
          <w:lang w:val="de-DE"/>
        </w:rPr>
      </w:pPr>
      <w:r w:rsidRPr="0083357F">
        <w:rPr>
          <w:rFonts w:cs="Arial"/>
          <w:sz w:val="20"/>
          <w:lang w:val="de-DE"/>
        </w:rPr>
        <w:t>G</w:t>
      </w:r>
      <w:r w:rsidR="00AB6236" w:rsidRPr="0083357F">
        <w:rPr>
          <w:rFonts w:cs="Arial"/>
          <w:sz w:val="20"/>
          <w:lang w:val="de-DE"/>
        </w:rPr>
        <w:t>emeindeverbände</w:t>
      </w:r>
    </w:p>
    <w:p w14:paraId="515A96ED" w14:textId="26B883B5" w:rsidR="00AB6236" w:rsidRPr="0083357F" w:rsidRDefault="00AB6236" w:rsidP="00AB6236">
      <w:pPr>
        <w:rPr>
          <w:rFonts w:cs="Arial"/>
          <w:lang w:val="de-DE"/>
        </w:rPr>
      </w:pPr>
      <w:r w:rsidRPr="0083357F">
        <w:rPr>
          <w:rFonts w:cs="Arial"/>
          <w:lang w:val="de-DE"/>
        </w:rPr>
        <w:t>ÖPNV</w:t>
      </w:r>
    </w:p>
    <w:p w14:paraId="7A9887A7" w14:textId="08327F98" w:rsidR="00D10CD0" w:rsidRPr="0083357F" w:rsidRDefault="00D10CD0" w:rsidP="00D10CD0">
      <w:pPr>
        <w:pStyle w:val="ListParagraph"/>
        <w:numPr>
          <w:ilvl w:val="0"/>
          <w:numId w:val="20"/>
        </w:numPr>
        <w:rPr>
          <w:rFonts w:cs="Arial"/>
          <w:lang w:val="de-DE"/>
        </w:rPr>
      </w:pPr>
      <w:r w:rsidRPr="0083357F">
        <w:rPr>
          <w:rFonts w:cs="Arial"/>
          <w:lang w:val="de-DE"/>
        </w:rPr>
        <w:t>1/6900-72020 Kostenbeiträge (Kostenersätze) für Leistungen (ÖPNV) -€290.700,00</w:t>
      </w:r>
      <w:r w:rsidR="00EC0605">
        <w:rPr>
          <w:rFonts w:cs="Arial"/>
          <w:lang w:val="de-DE"/>
        </w:rPr>
        <w:t xml:space="preserve"> (2020:</w:t>
      </w:r>
      <w:r w:rsidR="004F6BD6">
        <w:rPr>
          <w:rFonts w:cs="Arial"/>
          <w:lang w:val="de-DE"/>
        </w:rPr>
        <w:t xml:space="preserve"> -</w:t>
      </w:r>
      <w:r w:rsidR="004F6BD6" w:rsidRPr="004F6BD6">
        <w:rPr>
          <w:rFonts w:cs="Arial"/>
          <w:lang w:val="de-DE"/>
        </w:rPr>
        <w:t>270.500,00</w:t>
      </w:r>
      <w:r w:rsidR="004F6BD6">
        <w:rPr>
          <w:rFonts w:cs="Arial"/>
          <w:lang w:val="de-DE"/>
        </w:rPr>
        <w:t>)</w:t>
      </w:r>
      <w:r w:rsidR="00391BC1" w:rsidRPr="0083357F">
        <w:rPr>
          <w:rFonts w:cs="Arial"/>
          <w:lang w:val="de-DE"/>
        </w:rPr>
        <w:t xml:space="preserve"> entsprechen dem </w:t>
      </w:r>
      <w:r w:rsidR="00BF5980" w:rsidRPr="0083357F">
        <w:rPr>
          <w:rFonts w:cs="Arial"/>
          <w:lang w:val="de-DE" w:eastAsia="en-GB"/>
        </w:rPr>
        <w:t xml:space="preserve">Voranschlag </w:t>
      </w:r>
      <w:r w:rsidR="00391BC1" w:rsidRPr="0083357F">
        <w:rPr>
          <w:rFonts w:cs="Arial"/>
          <w:lang w:val="de-DE"/>
        </w:rPr>
        <w:t>des Gemeindeverbandes.</w:t>
      </w:r>
      <w:r w:rsidR="00391BC1" w:rsidRPr="0083357F">
        <w:rPr>
          <w:rStyle w:val="FootnoteReference"/>
          <w:rFonts w:cs="Arial"/>
          <w:lang w:val="de-DE"/>
        </w:rPr>
        <w:footnoteReference w:id="9"/>
      </w:r>
    </w:p>
    <w:p w14:paraId="5DBB2FE5" w14:textId="64B20476" w:rsidR="00D10CD0" w:rsidRPr="0083357F" w:rsidRDefault="00D10CD0" w:rsidP="00D10CD0">
      <w:pPr>
        <w:pStyle w:val="ListParagraph"/>
        <w:numPr>
          <w:ilvl w:val="0"/>
          <w:numId w:val="20"/>
        </w:numPr>
        <w:rPr>
          <w:rFonts w:cs="Arial"/>
          <w:color w:val="000000"/>
          <w:lang w:val="de-DE" w:eastAsia="en-GB"/>
        </w:rPr>
      </w:pPr>
      <w:r w:rsidRPr="0083357F">
        <w:rPr>
          <w:rFonts w:cs="Arial"/>
          <w:color w:val="000000"/>
          <w:lang w:val="de-DE" w:eastAsia="en-GB"/>
        </w:rPr>
        <w:t>2/6900+86100 Transfers von Ländern, Landesfonds und Landeskammern (ÖPNV) €72.700,00</w:t>
      </w:r>
      <w:r w:rsidR="004F6BD6">
        <w:rPr>
          <w:rFonts w:cs="Arial"/>
          <w:color w:val="000000"/>
          <w:lang w:val="de-DE" w:eastAsia="en-GB"/>
        </w:rPr>
        <w:t xml:space="preserve"> (2020: </w:t>
      </w:r>
      <w:r w:rsidR="004F6BD6" w:rsidRPr="004F6BD6">
        <w:rPr>
          <w:rFonts w:cs="Arial"/>
          <w:color w:val="000000"/>
          <w:lang w:val="de-DE" w:eastAsia="en-GB"/>
        </w:rPr>
        <w:t>102.600,00</w:t>
      </w:r>
      <w:r w:rsidR="004F6BD6">
        <w:rPr>
          <w:rFonts w:cs="Arial"/>
          <w:color w:val="000000"/>
          <w:lang w:val="de-DE" w:eastAsia="en-GB"/>
        </w:rPr>
        <w:t>)</w:t>
      </w:r>
    </w:p>
    <w:p w14:paraId="68462190" w14:textId="15CAD3FC" w:rsidR="00D10CD0" w:rsidRPr="0083357F" w:rsidRDefault="00D10CD0" w:rsidP="00D10CD0">
      <w:pPr>
        <w:ind w:firstLineChars="300" w:firstLine="600"/>
        <w:rPr>
          <w:rFonts w:cs="Arial"/>
          <w:color w:val="000000"/>
          <w:lang w:val="de-DE" w:eastAsia="en-GB"/>
        </w:rPr>
      </w:pPr>
    </w:p>
    <w:p w14:paraId="110E012A" w14:textId="28D37C39" w:rsidR="00AB6236" w:rsidRPr="0083357F" w:rsidRDefault="00AB6236" w:rsidP="00AB6236">
      <w:pPr>
        <w:rPr>
          <w:rFonts w:cs="Arial"/>
          <w:lang w:val="de-DE"/>
        </w:rPr>
      </w:pPr>
      <w:r w:rsidRPr="0083357F">
        <w:rPr>
          <w:rFonts w:cs="Arial"/>
          <w:lang w:val="de-DE"/>
        </w:rPr>
        <w:t>Sozialzentrum</w:t>
      </w:r>
    </w:p>
    <w:p w14:paraId="2CE048E9" w14:textId="77777777" w:rsidR="00EE0417" w:rsidRPr="0083357F" w:rsidRDefault="00EE0417" w:rsidP="00EE0417">
      <w:pPr>
        <w:pStyle w:val="ListParagraph"/>
        <w:numPr>
          <w:ilvl w:val="0"/>
          <w:numId w:val="29"/>
        </w:numPr>
        <w:rPr>
          <w:rFonts w:cs="Arial"/>
          <w:lang w:val="de-DE" w:eastAsia="en-GB"/>
        </w:rPr>
      </w:pPr>
      <w:r w:rsidRPr="0083357F">
        <w:rPr>
          <w:rFonts w:cs="Arial"/>
          <w:lang w:val="de-DE" w:eastAsia="en-GB"/>
        </w:rPr>
        <w:t>1/4290-72910 Sonstige Aufwendungen (Lebensraum Vorderland, Sozialzentrum) -€82.000,0 (2020: -€56.000,00)</w:t>
      </w:r>
    </w:p>
    <w:p w14:paraId="545158DE" w14:textId="1EC32E4F" w:rsidR="00101693" w:rsidRPr="0083357F" w:rsidRDefault="00EE0417" w:rsidP="00EE0417">
      <w:pPr>
        <w:pStyle w:val="ListParagraph"/>
        <w:numPr>
          <w:ilvl w:val="0"/>
          <w:numId w:val="29"/>
        </w:numPr>
        <w:rPr>
          <w:rFonts w:cs="Arial"/>
          <w:lang w:val="de-DE" w:eastAsia="en-GB"/>
        </w:rPr>
      </w:pPr>
      <w:r w:rsidRPr="0083357F">
        <w:rPr>
          <w:rFonts w:cs="Arial"/>
          <w:lang w:val="de-DE" w:eastAsia="en-GB"/>
        </w:rPr>
        <w:t>1/4290-72920 Sonstige Aufwendungen (Lebensraum Vorderland, Villa Kamilla) -€15.400,00 (2020: -€8.500,00)</w:t>
      </w:r>
    </w:p>
    <w:p w14:paraId="40D43ED4" w14:textId="50724A50" w:rsidR="00EE0417" w:rsidRPr="0083357F" w:rsidRDefault="00EE0417" w:rsidP="00EE0417">
      <w:pPr>
        <w:pStyle w:val="ListParagraph"/>
        <w:numPr>
          <w:ilvl w:val="0"/>
          <w:numId w:val="29"/>
        </w:numPr>
        <w:rPr>
          <w:rFonts w:cs="Arial"/>
          <w:lang w:val="de-DE" w:eastAsia="en-GB"/>
        </w:rPr>
      </w:pPr>
      <w:r w:rsidRPr="0083357F">
        <w:rPr>
          <w:rFonts w:cs="Arial"/>
          <w:lang w:val="de-DE" w:eastAsia="en-GB"/>
        </w:rPr>
        <w:t>Ein Voranschlag war nicht verfügbar.</w:t>
      </w:r>
    </w:p>
    <w:p w14:paraId="45722D99" w14:textId="77777777" w:rsidR="00D10CD0" w:rsidRPr="0083357F" w:rsidRDefault="00D10CD0" w:rsidP="00AB6236">
      <w:pPr>
        <w:rPr>
          <w:rFonts w:cs="Arial"/>
          <w:lang w:val="de-DE"/>
        </w:rPr>
      </w:pPr>
    </w:p>
    <w:p w14:paraId="64A5AFC5" w14:textId="4FCB2566" w:rsidR="00AB6236" w:rsidRPr="0083357F" w:rsidRDefault="00AB6236" w:rsidP="00AB6236">
      <w:pPr>
        <w:rPr>
          <w:rFonts w:cs="Arial"/>
          <w:lang w:val="de-DE"/>
        </w:rPr>
      </w:pPr>
      <w:r w:rsidRPr="0083357F">
        <w:rPr>
          <w:rFonts w:cs="Arial"/>
          <w:lang w:val="de-DE"/>
        </w:rPr>
        <w:t>Regio</w:t>
      </w:r>
    </w:p>
    <w:p w14:paraId="1099D9E0" w14:textId="321F97E4" w:rsidR="00AB6236" w:rsidRPr="0083357F" w:rsidRDefault="00EE0417" w:rsidP="00EE0417">
      <w:pPr>
        <w:pStyle w:val="ListParagraph"/>
        <w:numPr>
          <w:ilvl w:val="0"/>
          <w:numId w:val="27"/>
        </w:numPr>
        <w:rPr>
          <w:rFonts w:cs="Arial"/>
          <w:lang w:val="de-DE" w:eastAsia="en-GB"/>
        </w:rPr>
      </w:pPr>
      <w:r w:rsidRPr="0083357F">
        <w:rPr>
          <w:rFonts w:cs="Arial"/>
          <w:lang w:val="de-DE" w:eastAsia="en-GB"/>
        </w:rPr>
        <w:t xml:space="preserve">Beitrag nach </w:t>
      </w:r>
      <w:r w:rsidR="00BF5980" w:rsidRPr="0083357F">
        <w:rPr>
          <w:rFonts w:cs="Arial"/>
          <w:lang w:val="de-DE" w:eastAsia="en-GB"/>
        </w:rPr>
        <w:t xml:space="preserve">Voranschlag </w:t>
      </w:r>
      <w:r w:rsidRPr="0083357F">
        <w:rPr>
          <w:rFonts w:cs="Arial"/>
          <w:lang w:val="de-DE" w:eastAsia="en-GB"/>
        </w:rPr>
        <w:t>des Verbands von 8262,07 steckt in 1/0610-75200 Transfers an Gemeinden, Gemeindeverbände (Regio Vorderland Beiträge, Aktionen) -€21.500,00</w:t>
      </w:r>
    </w:p>
    <w:p w14:paraId="5DBB007B" w14:textId="79739F1F" w:rsidR="00EE0417" w:rsidRPr="0083357F" w:rsidRDefault="00EE0417" w:rsidP="00EE0417">
      <w:pPr>
        <w:pStyle w:val="Heading2"/>
        <w:numPr>
          <w:ilvl w:val="0"/>
          <w:numId w:val="0"/>
        </w:numPr>
        <w:rPr>
          <w:rFonts w:cs="Arial"/>
          <w:sz w:val="20"/>
          <w:lang w:val="de-DE"/>
        </w:rPr>
      </w:pPr>
      <w:r w:rsidRPr="0083357F">
        <w:rPr>
          <w:rFonts w:cs="Arial"/>
          <w:sz w:val="20"/>
          <w:lang w:val="de-DE"/>
        </w:rPr>
        <w:t>Vereine</w:t>
      </w:r>
    </w:p>
    <w:p w14:paraId="507DD68F" w14:textId="603EA0CA" w:rsidR="001F651E" w:rsidRPr="0083357F" w:rsidRDefault="001F651E" w:rsidP="001F651E">
      <w:pPr>
        <w:pStyle w:val="ListParagraph"/>
        <w:numPr>
          <w:ilvl w:val="0"/>
          <w:numId w:val="27"/>
        </w:numPr>
        <w:rPr>
          <w:rFonts w:cs="Arial"/>
          <w:lang w:val="de-DE"/>
        </w:rPr>
      </w:pPr>
      <w:r w:rsidRPr="0083357F">
        <w:rPr>
          <w:rFonts w:cs="Arial"/>
          <w:lang w:val="de-DE" w:eastAsia="en-GB"/>
        </w:rPr>
        <w:t xml:space="preserve">Direkte Vereinsförderung für </w:t>
      </w:r>
      <w:r w:rsidR="005A1296">
        <w:rPr>
          <w:rFonts w:cs="Arial"/>
          <w:lang w:val="de-DE" w:eastAsia="en-GB"/>
        </w:rPr>
        <w:t xml:space="preserve">„Freizeit“-Vereine </w:t>
      </w:r>
      <w:r w:rsidRPr="0083357F">
        <w:rPr>
          <w:rFonts w:cs="Arial"/>
          <w:lang w:val="de-DE" w:eastAsia="en-GB"/>
        </w:rPr>
        <w:t xml:space="preserve">steckt unter </w:t>
      </w:r>
      <w:r w:rsidRPr="00EE0417">
        <w:rPr>
          <w:rFonts w:cs="Arial"/>
          <w:lang w:val="de-DE" w:eastAsia="en-GB"/>
        </w:rPr>
        <w:t xml:space="preserve">1/0610-75700 Transfers an private Organisationen ohne Erwerbszweck  (Vereine u. priv. Organisationen) </w:t>
      </w:r>
      <w:r w:rsidRPr="0083357F">
        <w:rPr>
          <w:rFonts w:cs="Arial"/>
          <w:lang w:val="de-DE" w:eastAsia="en-GB"/>
        </w:rPr>
        <w:t xml:space="preserve">-€4.000,00 (2020: -€4.000,00) und für Sportvereine unter </w:t>
      </w:r>
      <w:r w:rsidRPr="001F651E">
        <w:rPr>
          <w:rFonts w:cs="Arial"/>
          <w:color w:val="000000"/>
          <w:lang w:val="de-DE" w:eastAsia="en-GB"/>
        </w:rPr>
        <w:t>1/2590-75700 Transfers an private Organisationen ohne Erwerbszweck</w:t>
      </w:r>
      <w:r w:rsidRPr="0083357F">
        <w:rPr>
          <w:rFonts w:cs="Arial"/>
          <w:color w:val="000000"/>
          <w:lang w:val="de-DE" w:eastAsia="en-GB"/>
        </w:rPr>
        <w:t xml:space="preserve"> -€24.500,00 (2020: -€24.000,00)</w:t>
      </w:r>
      <w:r w:rsidRPr="0083357F">
        <w:rPr>
          <w:rStyle w:val="FootnoteReference"/>
          <w:rFonts w:cs="Arial"/>
          <w:color w:val="000000"/>
          <w:lang w:val="de-DE" w:eastAsia="en-GB"/>
        </w:rPr>
        <w:footnoteReference w:id="10"/>
      </w:r>
    </w:p>
    <w:p w14:paraId="51A7DF8C" w14:textId="77777777" w:rsidR="001F651E" w:rsidRPr="0083357F" w:rsidRDefault="001F651E" w:rsidP="001F651E">
      <w:pPr>
        <w:pStyle w:val="ListParagraph"/>
        <w:numPr>
          <w:ilvl w:val="0"/>
          <w:numId w:val="27"/>
        </w:numPr>
        <w:rPr>
          <w:rFonts w:cs="Arial"/>
          <w:lang w:val="de-DE"/>
        </w:rPr>
      </w:pPr>
      <w:r w:rsidRPr="0083357F">
        <w:rPr>
          <w:rFonts w:cs="Arial"/>
          <w:color w:val="000000"/>
          <w:lang w:val="de-DE" w:eastAsia="en-GB"/>
        </w:rPr>
        <w:t xml:space="preserve">Musikschule und Chöre sind unter </w:t>
      </w:r>
      <w:r w:rsidRPr="0083357F">
        <w:rPr>
          <w:rFonts w:cs="Arial"/>
          <w:lang w:val="de-DE" w:eastAsia="en-GB"/>
        </w:rPr>
        <w:t>1/3220-75700 Transfers an private Organisationen ohne Erwerbszweck (Musikschule) -€110.000,00 (2020: -€95.000,00) und 1/3220-75710 Transfers an private Organisationen ohne Erwerbszweck (Musikvereine u. Chöre) -€7.000,00 (2020: -€8.000,00)</w:t>
      </w:r>
    </w:p>
    <w:p w14:paraId="68492F9B" w14:textId="4DE3721C" w:rsidR="001F651E" w:rsidRPr="0083357F" w:rsidRDefault="001F651E" w:rsidP="001F651E">
      <w:pPr>
        <w:pStyle w:val="ListParagraph"/>
        <w:numPr>
          <w:ilvl w:val="0"/>
          <w:numId w:val="27"/>
        </w:numPr>
        <w:rPr>
          <w:rFonts w:cs="Arial"/>
          <w:lang w:val="de-DE"/>
        </w:rPr>
      </w:pPr>
      <w:r w:rsidRPr="0083357F">
        <w:rPr>
          <w:rFonts w:cs="Arial"/>
          <w:lang w:val="en-GB" w:eastAsia="en-GB"/>
        </w:rPr>
        <w:t>1/4290-72900 Sonstige Aufwendungen (Seniorenstube) -€13.000,00 (2020: -€13.000,00)</w:t>
      </w:r>
    </w:p>
    <w:p w14:paraId="4F74A9AF" w14:textId="1251F5CF" w:rsidR="00EE0417" w:rsidRPr="0083357F" w:rsidRDefault="001F651E" w:rsidP="00AB6236">
      <w:pPr>
        <w:pStyle w:val="ListParagraph"/>
        <w:numPr>
          <w:ilvl w:val="0"/>
          <w:numId w:val="27"/>
        </w:numPr>
        <w:rPr>
          <w:rFonts w:cs="Arial"/>
          <w:lang w:val="de-DE"/>
        </w:rPr>
      </w:pPr>
      <w:r w:rsidRPr="0083357F">
        <w:rPr>
          <w:rFonts w:cs="Arial"/>
          <w:lang w:val="de-DE"/>
        </w:rPr>
        <w:lastRenderedPageBreak/>
        <w:t>Allerdings nutzen die Vereine die Infrastruktur der Gemeinde (Sporthalle, Musikprobelokal, …) und bezahlen dafür Miete, die in keinem Verhältnis zum tatsächlichen Aufwand steht.</w:t>
      </w:r>
      <w:r w:rsidR="0083357F">
        <w:rPr>
          <w:rFonts w:cs="Arial"/>
          <w:lang w:val="de-DE"/>
        </w:rPr>
        <w:t xml:space="preserve"> Das ist über das Budget nicht aufgeschlüsselt.</w:t>
      </w:r>
    </w:p>
    <w:sectPr w:rsidR="00EE0417" w:rsidRPr="0083357F" w:rsidSect="00DC0279">
      <w:footerReference w:type="default" r:id="rId8"/>
      <w:pgSz w:w="11907" w:h="16840" w:code="9"/>
      <w:pgMar w:top="1440" w:right="1077" w:bottom="1440" w:left="1440"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45923" w14:textId="77777777" w:rsidR="009A63F6" w:rsidRDefault="009A63F6">
      <w:r>
        <w:separator/>
      </w:r>
    </w:p>
  </w:endnote>
  <w:endnote w:type="continuationSeparator" w:id="0">
    <w:p w14:paraId="72C02A7F" w14:textId="77777777" w:rsidR="009A63F6" w:rsidRDefault="009A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611089"/>
      <w:docPartObj>
        <w:docPartGallery w:val="Page Numbers (Bottom of Page)"/>
        <w:docPartUnique/>
      </w:docPartObj>
    </w:sdtPr>
    <w:sdtEndPr>
      <w:rPr>
        <w:noProof/>
      </w:rPr>
    </w:sdtEndPr>
    <w:sdtContent>
      <w:p w14:paraId="1DA61A64" w14:textId="6099B8F1" w:rsidR="0083357F" w:rsidRDefault="008335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96C08E" w14:textId="77777777" w:rsidR="00A71106" w:rsidRPr="00433772" w:rsidRDefault="00A71106" w:rsidP="00433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B0421" w14:textId="77777777" w:rsidR="009A63F6" w:rsidRDefault="009A63F6">
      <w:r>
        <w:separator/>
      </w:r>
    </w:p>
  </w:footnote>
  <w:footnote w:type="continuationSeparator" w:id="0">
    <w:p w14:paraId="6A9B9081" w14:textId="77777777" w:rsidR="009A63F6" w:rsidRDefault="009A63F6">
      <w:r>
        <w:continuationSeparator/>
      </w:r>
    </w:p>
  </w:footnote>
  <w:footnote w:id="1">
    <w:p w14:paraId="3C7A97BC" w14:textId="003A0683" w:rsidR="004F6BD6" w:rsidRPr="004F6BD6" w:rsidRDefault="00A71106" w:rsidP="004F6BD6">
      <w:pPr>
        <w:pStyle w:val="PlainText"/>
        <w:rPr>
          <w:rFonts w:ascii="Calibri" w:hAnsi="Calibri"/>
          <w:lang w:val="de-DE" w:eastAsia="en-US"/>
        </w:rPr>
      </w:pPr>
      <w:r>
        <w:rPr>
          <w:rStyle w:val="FootnoteReference"/>
        </w:rPr>
        <w:footnoteRef/>
      </w:r>
      <w:r w:rsidRPr="00175940">
        <w:rPr>
          <w:lang w:val="de-DE"/>
        </w:rPr>
        <w:t xml:space="preserve"> </w:t>
      </w:r>
      <w:r>
        <w:rPr>
          <w:lang w:val="de-DE"/>
        </w:rPr>
        <w:t>Ein grundlegendes Verständnis für einen 3-Komponenten-Haushalt nach VRV 2015 mit Ergebnis-, Finanzierungs- und Vermögenshaushalt wird vorausgesetzt.</w:t>
      </w:r>
      <w:r w:rsidR="00EC0605">
        <w:rPr>
          <w:lang w:val="de-DE"/>
        </w:rPr>
        <w:t xml:space="preserve"> Der Vermögenshaushalt entspricht der Bilanz, der Ergebnishaushalt der Gewinn/Verlust-Rechnung und der Finanzierungshaushalt der Cash/Flow-Rechnung in der Privatwirtschaft.</w:t>
      </w:r>
      <w:r w:rsidR="004F6BD6">
        <w:rPr>
          <w:lang w:val="de-DE"/>
        </w:rPr>
        <w:t xml:space="preserve"> Weitere </w:t>
      </w:r>
      <w:r w:rsidR="004F6BD6" w:rsidRPr="004F6BD6">
        <w:rPr>
          <w:lang w:val="de-DE"/>
        </w:rPr>
        <w:t xml:space="preserve">Details </w:t>
      </w:r>
      <w:r w:rsidR="004F6BD6">
        <w:rPr>
          <w:lang w:val="de-DE"/>
        </w:rPr>
        <w:t xml:space="preserve">zur VRV 2015 kann man in dieser RFG-Schrift nachlesen </w:t>
      </w:r>
      <w:hyperlink r:id="rId1" w:history="1">
        <w:r w:rsidR="004F6BD6" w:rsidRPr="00780882">
          <w:rPr>
            <w:rStyle w:val="Hyperlink"/>
            <w:lang w:val="de-DE"/>
          </w:rPr>
          <w:t>https://gemeindebund.at/website2020/wp-content/uploads/2020/07/rfg_1-2017-finanz-kennzahlen-fuer-gemeindehaushalte-nach-vrv-2015.pdf</w:t>
        </w:r>
      </w:hyperlink>
      <w:r w:rsidR="004F6BD6">
        <w:rPr>
          <w:lang w:val="de-DE"/>
        </w:rPr>
        <w:t xml:space="preserve"> oder sind in diese</w:t>
      </w:r>
      <w:r w:rsidR="0056307B">
        <w:rPr>
          <w:lang w:val="de-DE"/>
        </w:rPr>
        <w:t>m</w:t>
      </w:r>
      <w:r w:rsidR="004F6BD6">
        <w:rPr>
          <w:lang w:val="de-DE"/>
        </w:rPr>
        <w:t xml:space="preserve"> Video</w:t>
      </w:r>
      <w:r w:rsidR="0056307B">
        <w:rPr>
          <w:lang w:val="de-DE"/>
        </w:rPr>
        <w:t xml:space="preserve"> kurz</w:t>
      </w:r>
      <w:r w:rsidR="004F6BD6">
        <w:rPr>
          <w:lang w:val="de-DE"/>
        </w:rPr>
        <w:t xml:space="preserve"> erklärt </w:t>
      </w:r>
      <w:hyperlink r:id="rId2" w:history="1">
        <w:r w:rsidR="004F6BD6" w:rsidRPr="00780882">
          <w:rPr>
            <w:rStyle w:val="Hyperlink"/>
            <w:lang w:val="de-DE"/>
          </w:rPr>
          <w:t>https://youtu.be/JEvwiNw9_Hk</w:t>
        </w:r>
      </w:hyperlink>
      <w:r w:rsidR="004F6BD6">
        <w:rPr>
          <w:lang w:val="de-DE"/>
        </w:rPr>
        <w:t>.</w:t>
      </w:r>
    </w:p>
    <w:p w14:paraId="15184C63" w14:textId="461BDD51" w:rsidR="00A71106" w:rsidRPr="004F6BD6" w:rsidRDefault="00A71106">
      <w:pPr>
        <w:pStyle w:val="FootnoteText"/>
        <w:rPr>
          <w:lang w:val="de-DE"/>
        </w:rPr>
      </w:pPr>
    </w:p>
  </w:footnote>
  <w:footnote w:id="2">
    <w:p w14:paraId="5BC53F20" w14:textId="0D5F85C1" w:rsidR="00A71106" w:rsidRPr="00995C35" w:rsidRDefault="00A71106">
      <w:pPr>
        <w:pStyle w:val="FootnoteText"/>
        <w:rPr>
          <w:lang w:val="de-DE"/>
        </w:rPr>
      </w:pPr>
      <w:r>
        <w:rPr>
          <w:rStyle w:val="FootnoteReference"/>
        </w:rPr>
        <w:footnoteRef/>
      </w:r>
      <w:r w:rsidRPr="00995C35">
        <w:rPr>
          <w:lang w:val="de-DE"/>
        </w:rPr>
        <w:t xml:space="preserve"> </w:t>
      </w:r>
      <w:r>
        <w:rPr>
          <w:lang w:val="de-DE"/>
        </w:rPr>
        <w:t xml:space="preserve">Abschreibungen für Schulen können nach dem </w:t>
      </w:r>
      <w:r w:rsidRPr="00BB4D8F">
        <w:rPr>
          <w:lang w:val="de-DE"/>
        </w:rPr>
        <w:t>Schulerhaltungsgesetz</w:t>
      </w:r>
      <w:r>
        <w:rPr>
          <w:lang w:val="de-DE"/>
        </w:rPr>
        <w:t xml:space="preserve"> nicht über die Schulerhaltungsbeiträge verumlagt werden (vermindert um die Investitionskostenbeiträge der anderen Gemeinden), und „belasten“ daher das Budget der Schulgemeinde (das wäre nicht so, wenn die Schule über einen Gemeindeverband betreiben würde, wie z.B. in Sulz/Röthis). </w:t>
      </w:r>
    </w:p>
  </w:footnote>
  <w:footnote w:id="3">
    <w:p w14:paraId="2E2D7243" w14:textId="43EA0F60" w:rsidR="00A71106" w:rsidRPr="00343E60" w:rsidRDefault="00A71106">
      <w:pPr>
        <w:pStyle w:val="FootnoteText"/>
        <w:rPr>
          <w:lang w:val="de-DE"/>
        </w:rPr>
      </w:pPr>
      <w:r>
        <w:rPr>
          <w:rStyle w:val="FootnoteReference"/>
        </w:rPr>
        <w:footnoteRef/>
      </w:r>
      <w:r w:rsidRPr="00343E60">
        <w:rPr>
          <w:lang w:val="de-DE"/>
        </w:rPr>
        <w:t xml:space="preserve"> </w:t>
      </w:r>
      <w:r>
        <w:rPr>
          <w:lang w:val="de-DE"/>
        </w:rPr>
        <w:t>Budgetposition mit 100,00 Euro werden auch deshalb geplant, weil dann außerplanmäßige kleinere Buchungen ohne Nachtragsvoranschlag möglich sind.</w:t>
      </w:r>
    </w:p>
  </w:footnote>
  <w:footnote w:id="4">
    <w:p w14:paraId="419C3325" w14:textId="25D01893" w:rsidR="00F73806" w:rsidRPr="00F73806" w:rsidRDefault="00F73806">
      <w:pPr>
        <w:pStyle w:val="FootnoteText"/>
        <w:rPr>
          <w:lang w:val="de-DE"/>
        </w:rPr>
      </w:pPr>
      <w:r>
        <w:rPr>
          <w:rStyle w:val="FootnoteReference"/>
        </w:rPr>
        <w:footnoteRef/>
      </w:r>
      <w:r w:rsidRPr="00F73806">
        <w:rPr>
          <w:lang w:val="de-DE"/>
        </w:rPr>
        <w:t xml:space="preserve"> </w:t>
      </w:r>
      <w:r>
        <w:rPr>
          <w:lang w:val="de-DE"/>
        </w:rPr>
        <w:t>Mit Ende 2020 sind die liquiden Mittel immer noch gleich hoch wie am Jahresanfang.</w:t>
      </w:r>
    </w:p>
  </w:footnote>
  <w:footnote w:id="5">
    <w:p w14:paraId="4B056D33" w14:textId="2B0F81D0" w:rsidR="00A71106" w:rsidRPr="0018085C" w:rsidRDefault="00A71106">
      <w:pPr>
        <w:pStyle w:val="FootnoteText"/>
        <w:rPr>
          <w:lang w:val="de-DE"/>
        </w:rPr>
      </w:pPr>
      <w:r>
        <w:rPr>
          <w:rStyle w:val="FootnoteReference"/>
        </w:rPr>
        <w:footnoteRef/>
      </w:r>
      <w:r w:rsidRPr="0018085C">
        <w:rPr>
          <w:lang w:val="de-DE"/>
        </w:rPr>
        <w:t xml:space="preserve"> </w:t>
      </w:r>
      <w:r>
        <w:rPr>
          <w:lang w:val="de-DE"/>
        </w:rPr>
        <w:t>Budgetpositionen zur Mittelaufbringung haben vorne immer 2/</w:t>
      </w:r>
    </w:p>
  </w:footnote>
  <w:footnote w:id="6">
    <w:p w14:paraId="3492AE05" w14:textId="0183CF24" w:rsidR="00A71106" w:rsidRPr="0018085C" w:rsidRDefault="00A71106">
      <w:pPr>
        <w:pStyle w:val="FootnoteText"/>
        <w:rPr>
          <w:lang w:val="de-DE"/>
        </w:rPr>
      </w:pPr>
      <w:r>
        <w:rPr>
          <w:rStyle w:val="FootnoteReference"/>
        </w:rPr>
        <w:footnoteRef/>
      </w:r>
      <w:r w:rsidRPr="0018085C">
        <w:rPr>
          <w:lang w:val="de-DE"/>
        </w:rPr>
        <w:t xml:space="preserve"> </w:t>
      </w:r>
      <w:r>
        <w:rPr>
          <w:lang w:val="de-DE"/>
        </w:rPr>
        <w:t>Budgetpositionen zur Mittelverwendung haben vorne immer 1/</w:t>
      </w:r>
    </w:p>
  </w:footnote>
  <w:footnote w:id="7">
    <w:p w14:paraId="44BCDADE" w14:textId="08D5AD9B" w:rsidR="000B0D0D" w:rsidRPr="000B0D0D" w:rsidRDefault="000B0D0D">
      <w:pPr>
        <w:pStyle w:val="FootnoteText"/>
        <w:rPr>
          <w:lang w:val="de-DE"/>
        </w:rPr>
      </w:pPr>
      <w:r>
        <w:rPr>
          <w:rStyle w:val="FootnoteReference"/>
        </w:rPr>
        <w:footnoteRef/>
      </w:r>
      <w:r w:rsidRPr="000B0D0D">
        <w:rPr>
          <w:lang w:val="de-DE"/>
        </w:rPr>
        <w:t xml:space="preserve"> </w:t>
      </w:r>
      <w:r>
        <w:rPr>
          <w:lang w:val="de-DE"/>
        </w:rPr>
        <w:t>Personalkosten werden dann noch über Interne Leistungsverrech</w:t>
      </w:r>
      <w:r w:rsidR="00EC0605">
        <w:rPr>
          <w:lang w:val="de-DE"/>
        </w:rPr>
        <w:t>n</w:t>
      </w:r>
      <w:r>
        <w:rPr>
          <w:lang w:val="de-DE"/>
        </w:rPr>
        <w:t>ungen auf andere Budgetgruppen verteilt.</w:t>
      </w:r>
    </w:p>
  </w:footnote>
  <w:footnote w:id="8">
    <w:p w14:paraId="7F4013A9" w14:textId="214497EC" w:rsidR="002601EF" w:rsidRPr="002601EF" w:rsidRDefault="002601EF">
      <w:pPr>
        <w:pStyle w:val="FootnoteText"/>
        <w:rPr>
          <w:lang w:val="de-DE"/>
        </w:rPr>
      </w:pPr>
      <w:r>
        <w:rPr>
          <w:rStyle w:val="FootnoteReference"/>
        </w:rPr>
        <w:footnoteRef/>
      </w:r>
      <w:r w:rsidRPr="002601EF">
        <w:rPr>
          <w:lang w:val="de-DE"/>
        </w:rPr>
        <w:t xml:space="preserve"> </w:t>
      </w:r>
      <w:r>
        <w:rPr>
          <w:lang w:val="de-DE"/>
        </w:rPr>
        <w:t>Ein Erhöhung der Abfallgebühr wäre nur über die Grundgebühr möglich, weil die Müllsäcke für alle Vorderlandgemeinden gemeinsam verkauft werden.</w:t>
      </w:r>
    </w:p>
  </w:footnote>
  <w:footnote w:id="9">
    <w:p w14:paraId="73C5D18C" w14:textId="722C4EAF" w:rsidR="00391BC1" w:rsidRPr="00391BC1" w:rsidRDefault="00391BC1">
      <w:pPr>
        <w:pStyle w:val="FootnoteText"/>
        <w:rPr>
          <w:lang w:val="de-DE"/>
        </w:rPr>
      </w:pPr>
      <w:r>
        <w:rPr>
          <w:rStyle w:val="FootnoteReference"/>
        </w:rPr>
        <w:footnoteRef/>
      </w:r>
      <w:r w:rsidRPr="00101693">
        <w:rPr>
          <w:lang w:val="de-DE"/>
        </w:rPr>
        <w:t xml:space="preserve"> </w:t>
      </w:r>
      <w:r w:rsidR="00101693">
        <w:rPr>
          <w:lang w:val="de-DE"/>
        </w:rPr>
        <w:t>ÖPNV wird über Einwohnerzahl und Haltestellenpunkte abgerechnet.</w:t>
      </w:r>
    </w:p>
  </w:footnote>
  <w:footnote w:id="10">
    <w:p w14:paraId="29719083" w14:textId="174F183C" w:rsidR="001F651E" w:rsidRPr="001F651E" w:rsidRDefault="001F651E">
      <w:pPr>
        <w:pStyle w:val="FootnoteText"/>
        <w:rPr>
          <w:lang w:val="de-DE"/>
        </w:rPr>
      </w:pPr>
      <w:r>
        <w:rPr>
          <w:rStyle w:val="FootnoteReference"/>
        </w:rPr>
        <w:footnoteRef/>
      </w:r>
      <w:r w:rsidRPr="001F651E">
        <w:rPr>
          <w:lang w:val="de-DE"/>
        </w:rPr>
        <w:t xml:space="preserve"> </w:t>
      </w:r>
      <w:r>
        <w:rPr>
          <w:lang w:val="de-DE"/>
        </w:rPr>
        <w:t>Eine Aufschlüsselung ist nur über die Buchhaltung möglich.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6AE9BE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AF63ED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46BAB338"/>
    <w:lvl w:ilvl="0">
      <w:start w:val="1"/>
      <w:numFmt w:val="decimal"/>
      <w:pStyle w:val="Heading1"/>
      <w:suff w:val="space"/>
      <w:lvlText w:val="%1  "/>
      <w:lvlJc w:val="left"/>
      <w:pPr>
        <w:ind w:left="0" w:firstLine="0"/>
      </w:pPr>
    </w:lvl>
    <w:lvl w:ilvl="1">
      <w:start w:val="1"/>
      <w:numFmt w:val="decimal"/>
      <w:pStyle w:val="Heading2"/>
      <w:suff w:val="space"/>
      <w:lvlText w:val="%1.%2  "/>
      <w:lvlJc w:val="left"/>
      <w:pPr>
        <w:ind w:left="0" w:firstLine="0"/>
      </w:pPr>
    </w:lvl>
    <w:lvl w:ilvl="2">
      <w:start w:val="1"/>
      <w:numFmt w:val="decimal"/>
      <w:pStyle w:val="Heading3"/>
      <w:suff w:val="space"/>
      <w:lvlText w:val="%1.%2.%3  "/>
      <w:lvlJc w:val="left"/>
      <w:pPr>
        <w:ind w:left="0" w:firstLine="0"/>
      </w:pPr>
    </w:lvl>
    <w:lvl w:ilvl="3">
      <w:start w:val="1"/>
      <w:numFmt w:val="decimal"/>
      <w:pStyle w:val="Heading4"/>
      <w:suff w:val="space"/>
      <w:lvlText w:val="%1.%2.%3.%4  "/>
      <w:lvlJc w:val="left"/>
      <w:pPr>
        <w:ind w:left="0" w:firstLine="0"/>
      </w:pPr>
    </w:lvl>
    <w:lvl w:ilvl="4">
      <w:start w:val="1"/>
      <w:numFmt w:val="decimal"/>
      <w:pStyle w:val="Heading5"/>
      <w:suff w:val="space"/>
      <w:lvlText w:val="%1.%2.%3.%4.%5  "/>
      <w:lvlJc w:val="left"/>
      <w:pPr>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1443D80"/>
    <w:multiLevelType w:val="hybridMultilevel"/>
    <w:tmpl w:val="4850B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A37AA6"/>
    <w:multiLevelType w:val="hybridMultilevel"/>
    <w:tmpl w:val="F3D2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E87CBC"/>
    <w:multiLevelType w:val="hybridMultilevel"/>
    <w:tmpl w:val="2F228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B2D6D"/>
    <w:multiLevelType w:val="hybridMultilevel"/>
    <w:tmpl w:val="EE8E4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A6B7F"/>
    <w:multiLevelType w:val="hybridMultilevel"/>
    <w:tmpl w:val="D274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232EF4"/>
    <w:multiLevelType w:val="hybridMultilevel"/>
    <w:tmpl w:val="11B6D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4A50DB"/>
    <w:multiLevelType w:val="hybridMultilevel"/>
    <w:tmpl w:val="59BCD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6D1936"/>
    <w:multiLevelType w:val="hybridMultilevel"/>
    <w:tmpl w:val="D070D7EC"/>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1" w15:restartNumberingAfterBreak="0">
    <w:nsid w:val="189119F2"/>
    <w:multiLevelType w:val="hybridMultilevel"/>
    <w:tmpl w:val="FF16AF72"/>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2" w15:restartNumberingAfterBreak="0">
    <w:nsid w:val="1E93161D"/>
    <w:multiLevelType w:val="hybridMultilevel"/>
    <w:tmpl w:val="389E9292"/>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3" w15:restartNumberingAfterBreak="0">
    <w:nsid w:val="35537CB3"/>
    <w:multiLevelType w:val="hybridMultilevel"/>
    <w:tmpl w:val="9DBCC344"/>
    <w:lvl w:ilvl="0" w:tplc="2E083D64">
      <w:start w:val="1"/>
      <w:numFmt w:val="bullet"/>
      <w:pStyle w:val="ListBullet2"/>
      <w:lvlText w:val="–"/>
      <w:lvlJc w:val="left"/>
      <w:pPr>
        <w:tabs>
          <w:tab w:val="num" w:pos="641"/>
        </w:tabs>
        <w:ind w:left="641" w:hanging="284"/>
      </w:pPr>
      <w:rPr>
        <w:rFonts w:ascii="Arial" w:hAnsi="Arial" w:hint="default"/>
      </w:rPr>
    </w:lvl>
    <w:lvl w:ilvl="1" w:tplc="E9AAE082">
      <w:start w:val="1"/>
      <w:numFmt w:val="bullet"/>
      <w:pStyle w:val="ListBullet2"/>
      <w:lvlText w:val="–"/>
      <w:lvlJc w:val="left"/>
      <w:pPr>
        <w:tabs>
          <w:tab w:val="num" w:pos="1369"/>
        </w:tabs>
        <w:ind w:left="1369" w:hanging="289"/>
      </w:pPr>
      <w:rPr>
        <w:rFonts w:ascii="Arial" w:hAnsi="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0E4E1E"/>
    <w:multiLevelType w:val="hybridMultilevel"/>
    <w:tmpl w:val="5C78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983349"/>
    <w:multiLevelType w:val="hybridMultilevel"/>
    <w:tmpl w:val="AD02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CC1C69"/>
    <w:multiLevelType w:val="hybridMultilevel"/>
    <w:tmpl w:val="1CE4A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FB1418"/>
    <w:multiLevelType w:val="hybridMultilevel"/>
    <w:tmpl w:val="35C05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1469A4"/>
    <w:multiLevelType w:val="hybridMultilevel"/>
    <w:tmpl w:val="21D8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E2040F"/>
    <w:multiLevelType w:val="hybridMultilevel"/>
    <w:tmpl w:val="D18A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745242"/>
    <w:multiLevelType w:val="hybridMultilevel"/>
    <w:tmpl w:val="E0EA1610"/>
    <w:lvl w:ilvl="0" w:tplc="4AD05B0E">
      <w:start w:val="1"/>
      <w:numFmt w:val="bullet"/>
      <w:pStyle w:val="List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1A02CF"/>
    <w:multiLevelType w:val="hybridMultilevel"/>
    <w:tmpl w:val="E04A33AC"/>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22" w15:restartNumberingAfterBreak="0">
    <w:nsid w:val="70EE2EA1"/>
    <w:multiLevelType w:val="hybridMultilevel"/>
    <w:tmpl w:val="CD8890CC"/>
    <w:lvl w:ilvl="0" w:tplc="9EE42968">
      <w:start w:val="8500"/>
      <w:numFmt w:val="decimal"/>
      <w:lvlText w:val="%1"/>
      <w:lvlJc w:val="left"/>
      <w:pPr>
        <w:ind w:left="846" w:hanging="446"/>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23" w15:restartNumberingAfterBreak="0">
    <w:nsid w:val="710A586B"/>
    <w:multiLevelType w:val="hybridMultilevel"/>
    <w:tmpl w:val="9BD4B166"/>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4" w15:restartNumberingAfterBreak="0">
    <w:nsid w:val="71D25EAC"/>
    <w:multiLevelType w:val="hybridMultilevel"/>
    <w:tmpl w:val="519AF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20"/>
  </w:num>
  <w:num w:numId="8">
    <w:abstractNumId w:val="0"/>
  </w:num>
  <w:num w:numId="9">
    <w:abstractNumId w:val="13"/>
  </w:num>
  <w:num w:numId="10">
    <w:abstractNumId w:val="8"/>
  </w:num>
  <w:num w:numId="11">
    <w:abstractNumId w:val="18"/>
  </w:num>
  <w:num w:numId="12">
    <w:abstractNumId w:val="24"/>
  </w:num>
  <w:num w:numId="13">
    <w:abstractNumId w:val="6"/>
  </w:num>
  <w:num w:numId="14">
    <w:abstractNumId w:val="4"/>
  </w:num>
  <w:num w:numId="15">
    <w:abstractNumId w:val="17"/>
  </w:num>
  <w:num w:numId="16">
    <w:abstractNumId w:val="14"/>
  </w:num>
  <w:num w:numId="17">
    <w:abstractNumId w:val="7"/>
  </w:num>
  <w:num w:numId="18">
    <w:abstractNumId w:val="16"/>
  </w:num>
  <w:num w:numId="19">
    <w:abstractNumId w:val="23"/>
  </w:num>
  <w:num w:numId="20">
    <w:abstractNumId w:val="15"/>
  </w:num>
  <w:num w:numId="21">
    <w:abstractNumId w:val="9"/>
  </w:num>
  <w:num w:numId="22">
    <w:abstractNumId w:val="10"/>
  </w:num>
  <w:num w:numId="23">
    <w:abstractNumId w:val="12"/>
  </w:num>
  <w:num w:numId="24">
    <w:abstractNumId w:val="21"/>
  </w:num>
  <w:num w:numId="25">
    <w:abstractNumId w:val="11"/>
  </w:num>
  <w:num w:numId="26">
    <w:abstractNumId w:val="22"/>
  </w:num>
  <w:num w:numId="27">
    <w:abstractNumId w:val="19"/>
  </w:num>
  <w:num w:numId="28">
    <w:abstractNumId w:val="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772"/>
    <w:rsid w:val="00005797"/>
    <w:rsid w:val="00011C35"/>
    <w:rsid w:val="00024204"/>
    <w:rsid w:val="00024BA7"/>
    <w:rsid w:val="0004327A"/>
    <w:rsid w:val="000436D5"/>
    <w:rsid w:val="00044D12"/>
    <w:rsid w:val="0004673A"/>
    <w:rsid w:val="00051702"/>
    <w:rsid w:val="00051F6D"/>
    <w:rsid w:val="00054DD9"/>
    <w:rsid w:val="0005620E"/>
    <w:rsid w:val="00057F12"/>
    <w:rsid w:val="000625AF"/>
    <w:rsid w:val="00063C55"/>
    <w:rsid w:val="000738EF"/>
    <w:rsid w:val="0007596D"/>
    <w:rsid w:val="0008469B"/>
    <w:rsid w:val="0008688F"/>
    <w:rsid w:val="00093B97"/>
    <w:rsid w:val="000B0D0D"/>
    <w:rsid w:val="000B4013"/>
    <w:rsid w:val="000C0B97"/>
    <w:rsid w:val="000C0C4F"/>
    <w:rsid w:val="000C2AB9"/>
    <w:rsid w:val="000C59D8"/>
    <w:rsid w:val="000C7C69"/>
    <w:rsid w:val="000D1861"/>
    <w:rsid w:val="000E5FF3"/>
    <w:rsid w:val="000F254B"/>
    <w:rsid w:val="000F2F99"/>
    <w:rsid w:val="000F4961"/>
    <w:rsid w:val="00101693"/>
    <w:rsid w:val="001055A3"/>
    <w:rsid w:val="00112D33"/>
    <w:rsid w:val="0011471A"/>
    <w:rsid w:val="00114751"/>
    <w:rsid w:val="00117156"/>
    <w:rsid w:val="00120331"/>
    <w:rsid w:val="00120C59"/>
    <w:rsid w:val="001358A7"/>
    <w:rsid w:val="00136EDC"/>
    <w:rsid w:val="00141170"/>
    <w:rsid w:val="00144C16"/>
    <w:rsid w:val="00144E61"/>
    <w:rsid w:val="001560C1"/>
    <w:rsid w:val="00170B47"/>
    <w:rsid w:val="00175940"/>
    <w:rsid w:val="001807D6"/>
    <w:rsid w:val="0018085C"/>
    <w:rsid w:val="00181ED2"/>
    <w:rsid w:val="001846E1"/>
    <w:rsid w:val="001A6F39"/>
    <w:rsid w:val="001B1A45"/>
    <w:rsid w:val="001B200C"/>
    <w:rsid w:val="001B35A7"/>
    <w:rsid w:val="001C1C8F"/>
    <w:rsid w:val="001C40F6"/>
    <w:rsid w:val="001C4573"/>
    <w:rsid w:val="001C504A"/>
    <w:rsid w:val="001D1669"/>
    <w:rsid w:val="001D2D28"/>
    <w:rsid w:val="001D3C11"/>
    <w:rsid w:val="001D494A"/>
    <w:rsid w:val="001E2B9F"/>
    <w:rsid w:val="001E41E6"/>
    <w:rsid w:val="001E4DFC"/>
    <w:rsid w:val="001E6BD6"/>
    <w:rsid w:val="001F039B"/>
    <w:rsid w:val="001F651E"/>
    <w:rsid w:val="00202BDE"/>
    <w:rsid w:val="0021072F"/>
    <w:rsid w:val="002161F3"/>
    <w:rsid w:val="002213A8"/>
    <w:rsid w:val="00221D90"/>
    <w:rsid w:val="002227D2"/>
    <w:rsid w:val="002261CE"/>
    <w:rsid w:val="00227B8B"/>
    <w:rsid w:val="002305CA"/>
    <w:rsid w:val="00233593"/>
    <w:rsid w:val="0023606C"/>
    <w:rsid w:val="00241CCC"/>
    <w:rsid w:val="00245254"/>
    <w:rsid w:val="00245FFC"/>
    <w:rsid w:val="00246D84"/>
    <w:rsid w:val="00247EA2"/>
    <w:rsid w:val="00260182"/>
    <w:rsid w:val="002601EF"/>
    <w:rsid w:val="00260F24"/>
    <w:rsid w:val="0026244E"/>
    <w:rsid w:val="00271365"/>
    <w:rsid w:val="00272F8B"/>
    <w:rsid w:val="00274B55"/>
    <w:rsid w:val="002768E0"/>
    <w:rsid w:val="00285A44"/>
    <w:rsid w:val="00286D7A"/>
    <w:rsid w:val="0029179D"/>
    <w:rsid w:val="00292397"/>
    <w:rsid w:val="00292BB6"/>
    <w:rsid w:val="002A7E6B"/>
    <w:rsid w:val="002B1783"/>
    <w:rsid w:val="002B7D64"/>
    <w:rsid w:val="002C5765"/>
    <w:rsid w:val="002D08AF"/>
    <w:rsid w:val="002E78E6"/>
    <w:rsid w:val="003027D3"/>
    <w:rsid w:val="00307097"/>
    <w:rsid w:val="00311BBA"/>
    <w:rsid w:val="00321504"/>
    <w:rsid w:val="003224A0"/>
    <w:rsid w:val="00324F2B"/>
    <w:rsid w:val="003253C7"/>
    <w:rsid w:val="00330B42"/>
    <w:rsid w:val="003322AD"/>
    <w:rsid w:val="00336C36"/>
    <w:rsid w:val="00337300"/>
    <w:rsid w:val="00343E60"/>
    <w:rsid w:val="003465FD"/>
    <w:rsid w:val="003600C6"/>
    <w:rsid w:val="003678F7"/>
    <w:rsid w:val="0037118A"/>
    <w:rsid w:val="00373FE6"/>
    <w:rsid w:val="00376194"/>
    <w:rsid w:val="00377FF3"/>
    <w:rsid w:val="0038362E"/>
    <w:rsid w:val="00383B60"/>
    <w:rsid w:val="0039103F"/>
    <w:rsid w:val="00391BC1"/>
    <w:rsid w:val="00391DAE"/>
    <w:rsid w:val="003947F2"/>
    <w:rsid w:val="00396AB2"/>
    <w:rsid w:val="003A348F"/>
    <w:rsid w:val="003A37F6"/>
    <w:rsid w:val="003B6D13"/>
    <w:rsid w:val="003B783D"/>
    <w:rsid w:val="003C36D3"/>
    <w:rsid w:val="003C4FDF"/>
    <w:rsid w:val="003D3414"/>
    <w:rsid w:val="003E029C"/>
    <w:rsid w:val="003E3363"/>
    <w:rsid w:val="004039EB"/>
    <w:rsid w:val="00404FA8"/>
    <w:rsid w:val="004142D3"/>
    <w:rsid w:val="004321AF"/>
    <w:rsid w:val="00433772"/>
    <w:rsid w:val="00436895"/>
    <w:rsid w:val="004403E5"/>
    <w:rsid w:val="0044062E"/>
    <w:rsid w:val="0044353A"/>
    <w:rsid w:val="00453EAE"/>
    <w:rsid w:val="00475766"/>
    <w:rsid w:val="00485860"/>
    <w:rsid w:val="00486F9D"/>
    <w:rsid w:val="00491FDD"/>
    <w:rsid w:val="00492E82"/>
    <w:rsid w:val="004975E6"/>
    <w:rsid w:val="00497B4A"/>
    <w:rsid w:val="004A0179"/>
    <w:rsid w:val="004B1AC8"/>
    <w:rsid w:val="004B3B39"/>
    <w:rsid w:val="004B70C6"/>
    <w:rsid w:val="004C67A2"/>
    <w:rsid w:val="004D0D45"/>
    <w:rsid w:val="004D1D2D"/>
    <w:rsid w:val="004E53F2"/>
    <w:rsid w:val="004F13A2"/>
    <w:rsid w:val="004F1A69"/>
    <w:rsid w:val="004F1A87"/>
    <w:rsid w:val="004F6BD6"/>
    <w:rsid w:val="00500AD5"/>
    <w:rsid w:val="005060F6"/>
    <w:rsid w:val="00513A4B"/>
    <w:rsid w:val="00515CB2"/>
    <w:rsid w:val="005315CD"/>
    <w:rsid w:val="00535783"/>
    <w:rsid w:val="00555A62"/>
    <w:rsid w:val="0056307B"/>
    <w:rsid w:val="005660A7"/>
    <w:rsid w:val="00573565"/>
    <w:rsid w:val="00574255"/>
    <w:rsid w:val="00574BA7"/>
    <w:rsid w:val="00574E0B"/>
    <w:rsid w:val="005804EB"/>
    <w:rsid w:val="00583E20"/>
    <w:rsid w:val="00593F9F"/>
    <w:rsid w:val="005954E6"/>
    <w:rsid w:val="005A1296"/>
    <w:rsid w:val="005A5896"/>
    <w:rsid w:val="005A77EE"/>
    <w:rsid w:val="005B1A52"/>
    <w:rsid w:val="005B53B4"/>
    <w:rsid w:val="005B637A"/>
    <w:rsid w:val="005C40AD"/>
    <w:rsid w:val="005C46BD"/>
    <w:rsid w:val="005C5539"/>
    <w:rsid w:val="005C67BD"/>
    <w:rsid w:val="005D09A1"/>
    <w:rsid w:val="005D33F0"/>
    <w:rsid w:val="005D3C6F"/>
    <w:rsid w:val="005D4513"/>
    <w:rsid w:val="005D595E"/>
    <w:rsid w:val="005E1DC0"/>
    <w:rsid w:val="005F0B7F"/>
    <w:rsid w:val="005F0D6C"/>
    <w:rsid w:val="005F4749"/>
    <w:rsid w:val="00600070"/>
    <w:rsid w:val="006074EA"/>
    <w:rsid w:val="00612FF4"/>
    <w:rsid w:val="006169EA"/>
    <w:rsid w:val="0062030A"/>
    <w:rsid w:val="00620403"/>
    <w:rsid w:val="00624ADD"/>
    <w:rsid w:val="00627497"/>
    <w:rsid w:val="00636C28"/>
    <w:rsid w:val="0064463B"/>
    <w:rsid w:val="00651527"/>
    <w:rsid w:val="00654EA5"/>
    <w:rsid w:val="0066213A"/>
    <w:rsid w:val="006736A4"/>
    <w:rsid w:val="00676668"/>
    <w:rsid w:val="006827F2"/>
    <w:rsid w:val="006945DE"/>
    <w:rsid w:val="0069526B"/>
    <w:rsid w:val="00697F72"/>
    <w:rsid w:val="006A135A"/>
    <w:rsid w:val="006A323D"/>
    <w:rsid w:val="006A5522"/>
    <w:rsid w:val="006A7F72"/>
    <w:rsid w:val="006B3E13"/>
    <w:rsid w:val="006B6595"/>
    <w:rsid w:val="006C33BC"/>
    <w:rsid w:val="006D2BAC"/>
    <w:rsid w:val="006E72B3"/>
    <w:rsid w:val="007018E7"/>
    <w:rsid w:val="007043F4"/>
    <w:rsid w:val="007046FF"/>
    <w:rsid w:val="00711C33"/>
    <w:rsid w:val="007143BB"/>
    <w:rsid w:val="00720DCD"/>
    <w:rsid w:val="007610C2"/>
    <w:rsid w:val="00761990"/>
    <w:rsid w:val="00761E4C"/>
    <w:rsid w:val="007725BD"/>
    <w:rsid w:val="007743A3"/>
    <w:rsid w:val="00777B97"/>
    <w:rsid w:val="00780A9D"/>
    <w:rsid w:val="00786D7D"/>
    <w:rsid w:val="00792DE9"/>
    <w:rsid w:val="00794B78"/>
    <w:rsid w:val="00796C5E"/>
    <w:rsid w:val="007972CB"/>
    <w:rsid w:val="007A0E90"/>
    <w:rsid w:val="007A1061"/>
    <w:rsid w:val="007A4164"/>
    <w:rsid w:val="007B0408"/>
    <w:rsid w:val="007C1FAC"/>
    <w:rsid w:val="007C414D"/>
    <w:rsid w:val="007C4F13"/>
    <w:rsid w:val="007D2D5B"/>
    <w:rsid w:val="007E4091"/>
    <w:rsid w:val="00804CEA"/>
    <w:rsid w:val="008054FB"/>
    <w:rsid w:val="00810BDB"/>
    <w:rsid w:val="00810E0E"/>
    <w:rsid w:val="008122B6"/>
    <w:rsid w:val="00824565"/>
    <w:rsid w:val="0083357F"/>
    <w:rsid w:val="00837279"/>
    <w:rsid w:val="00841C0F"/>
    <w:rsid w:val="00845AC4"/>
    <w:rsid w:val="008519AE"/>
    <w:rsid w:val="008526E9"/>
    <w:rsid w:val="008619A0"/>
    <w:rsid w:val="0086485A"/>
    <w:rsid w:val="00867096"/>
    <w:rsid w:val="00873C48"/>
    <w:rsid w:val="00876A5B"/>
    <w:rsid w:val="00876AF3"/>
    <w:rsid w:val="008824D7"/>
    <w:rsid w:val="00883F0F"/>
    <w:rsid w:val="00886650"/>
    <w:rsid w:val="008A2E9C"/>
    <w:rsid w:val="008A3177"/>
    <w:rsid w:val="008A42ED"/>
    <w:rsid w:val="008B52F1"/>
    <w:rsid w:val="008C3A0C"/>
    <w:rsid w:val="008C4056"/>
    <w:rsid w:val="008C420E"/>
    <w:rsid w:val="008C45B4"/>
    <w:rsid w:val="008C6974"/>
    <w:rsid w:val="008D18FC"/>
    <w:rsid w:val="008D3C64"/>
    <w:rsid w:val="008D7D2B"/>
    <w:rsid w:val="008E117C"/>
    <w:rsid w:val="008F48B2"/>
    <w:rsid w:val="00900451"/>
    <w:rsid w:val="00903E32"/>
    <w:rsid w:val="0090410C"/>
    <w:rsid w:val="00906594"/>
    <w:rsid w:val="0091008F"/>
    <w:rsid w:val="00915D78"/>
    <w:rsid w:val="009242C4"/>
    <w:rsid w:val="009247F5"/>
    <w:rsid w:val="009310A0"/>
    <w:rsid w:val="00934863"/>
    <w:rsid w:val="00946C18"/>
    <w:rsid w:val="0094771B"/>
    <w:rsid w:val="009539EF"/>
    <w:rsid w:val="00954231"/>
    <w:rsid w:val="009570E4"/>
    <w:rsid w:val="00967A85"/>
    <w:rsid w:val="00967E6F"/>
    <w:rsid w:val="009746FF"/>
    <w:rsid w:val="009762BD"/>
    <w:rsid w:val="009762D4"/>
    <w:rsid w:val="0098128F"/>
    <w:rsid w:val="0098187B"/>
    <w:rsid w:val="00981ED4"/>
    <w:rsid w:val="00982E0C"/>
    <w:rsid w:val="0098432D"/>
    <w:rsid w:val="00991B86"/>
    <w:rsid w:val="00993353"/>
    <w:rsid w:val="00995C35"/>
    <w:rsid w:val="009A1552"/>
    <w:rsid w:val="009A6151"/>
    <w:rsid w:val="009A63F6"/>
    <w:rsid w:val="009B344A"/>
    <w:rsid w:val="009B4E21"/>
    <w:rsid w:val="009B59D1"/>
    <w:rsid w:val="009B662E"/>
    <w:rsid w:val="009C597F"/>
    <w:rsid w:val="009C5B6F"/>
    <w:rsid w:val="009C75DD"/>
    <w:rsid w:val="009E06F3"/>
    <w:rsid w:val="009E6D70"/>
    <w:rsid w:val="009E745B"/>
    <w:rsid w:val="009F579E"/>
    <w:rsid w:val="009F6342"/>
    <w:rsid w:val="009F75BB"/>
    <w:rsid w:val="00A01AC9"/>
    <w:rsid w:val="00A07D4C"/>
    <w:rsid w:val="00A22FED"/>
    <w:rsid w:val="00A24930"/>
    <w:rsid w:val="00A34005"/>
    <w:rsid w:val="00A36B29"/>
    <w:rsid w:val="00A40482"/>
    <w:rsid w:val="00A40BD0"/>
    <w:rsid w:val="00A40E93"/>
    <w:rsid w:val="00A56540"/>
    <w:rsid w:val="00A626AE"/>
    <w:rsid w:val="00A62B2E"/>
    <w:rsid w:val="00A65962"/>
    <w:rsid w:val="00A676DF"/>
    <w:rsid w:val="00A71106"/>
    <w:rsid w:val="00A82663"/>
    <w:rsid w:val="00AA5BD6"/>
    <w:rsid w:val="00AA60D7"/>
    <w:rsid w:val="00AB33AA"/>
    <w:rsid w:val="00AB6236"/>
    <w:rsid w:val="00AB6BC9"/>
    <w:rsid w:val="00AC0E38"/>
    <w:rsid w:val="00AD7948"/>
    <w:rsid w:val="00AF12EC"/>
    <w:rsid w:val="00AF264C"/>
    <w:rsid w:val="00B0223E"/>
    <w:rsid w:val="00B10BD5"/>
    <w:rsid w:val="00B124F1"/>
    <w:rsid w:val="00B21AE8"/>
    <w:rsid w:val="00B23895"/>
    <w:rsid w:val="00B25F47"/>
    <w:rsid w:val="00B363A1"/>
    <w:rsid w:val="00B36B17"/>
    <w:rsid w:val="00B37190"/>
    <w:rsid w:val="00B40BB7"/>
    <w:rsid w:val="00B40CD2"/>
    <w:rsid w:val="00B42B19"/>
    <w:rsid w:val="00B476B9"/>
    <w:rsid w:val="00B6022F"/>
    <w:rsid w:val="00B60B09"/>
    <w:rsid w:val="00B6190D"/>
    <w:rsid w:val="00B65F43"/>
    <w:rsid w:val="00B67170"/>
    <w:rsid w:val="00BA5F28"/>
    <w:rsid w:val="00BB0EFA"/>
    <w:rsid w:val="00BB4674"/>
    <w:rsid w:val="00BB4D8F"/>
    <w:rsid w:val="00BB7E77"/>
    <w:rsid w:val="00BC06DC"/>
    <w:rsid w:val="00BC36C0"/>
    <w:rsid w:val="00BC62FB"/>
    <w:rsid w:val="00BD00F4"/>
    <w:rsid w:val="00BD1598"/>
    <w:rsid w:val="00BD4533"/>
    <w:rsid w:val="00BE4B76"/>
    <w:rsid w:val="00BE598F"/>
    <w:rsid w:val="00BF5980"/>
    <w:rsid w:val="00C01537"/>
    <w:rsid w:val="00C07D4E"/>
    <w:rsid w:val="00C101F0"/>
    <w:rsid w:val="00C12A53"/>
    <w:rsid w:val="00C1683C"/>
    <w:rsid w:val="00C16A30"/>
    <w:rsid w:val="00C26C2C"/>
    <w:rsid w:val="00C26CBF"/>
    <w:rsid w:val="00C31B32"/>
    <w:rsid w:val="00C32A2F"/>
    <w:rsid w:val="00C32FAE"/>
    <w:rsid w:val="00C40678"/>
    <w:rsid w:val="00C408E6"/>
    <w:rsid w:val="00C4387B"/>
    <w:rsid w:val="00C44979"/>
    <w:rsid w:val="00C44B0F"/>
    <w:rsid w:val="00C501E7"/>
    <w:rsid w:val="00C53B09"/>
    <w:rsid w:val="00C55301"/>
    <w:rsid w:val="00C61EE4"/>
    <w:rsid w:val="00C751D2"/>
    <w:rsid w:val="00C760F9"/>
    <w:rsid w:val="00C81B41"/>
    <w:rsid w:val="00C8736F"/>
    <w:rsid w:val="00C92BA2"/>
    <w:rsid w:val="00C968DC"/>
    <w:rsid w:val="00CA119B"/>
    <w:rsid w:val="00CA7132"/>
    <w:rsid w:val="00CB6CD2"/>
    <w:rsid w:val="00CD0236"/>
    <w:rsid w:val="00CD5061"/>
    <w:rsid w:val="00CD7722"/>
    <w:rsid w:val="00CE16ED"/>
    <w:rsid w:val="00CE4D05"/>
    <w:rsid w:val="00CE5A6A"/>
    <w:rsid w:val="00CE7E6F"/>
    <w:rsid w:val="00CF4071"/>
    <w:rsid w:val="00D02B59"/>
    <w:rsid w:val="00D109E9"/>
    <w:rsid w:val="00D10A54"/>
    <w:rsid w:val="00D10CD0"/>
    <w:rsid w:val="00D16F78"/>
    <w:rsid w:val="00D17341"/>
    <w:rsid w:val="00D228FA"/>
    <w:rsid w:val="00D23063"/>
    <w:rsid w:val="00D30C1E"/>
    <w:rsid w:val="00D32FF3"/>
    <w:rsid w:val="00D366F4"/>
    <w:rsid w:val="00D410B0"/>
    <w:rsid w:val="00D44590"/>
    <w:rsid w:val="00D518AB"/>
    <w:rsid w:val="00D54D25"/>
    <w:rsid w:val="00D65981"/>
    <w:rsid w:val="00D73F18"/>
    <w:rsid w:val="00D74D84"/>
    <w:rsid w:val="00D77E65"/>
    <w:rsid w:val="00D847D4"/>
    <w:rsid w:val="00D86AD2"/>
    <w:rsid w:val="00D973A7"/>
    <w:rsid w:val="00DA1ACD"/>
    <w:rsid w:val="00DB4683"/>
    <w:rsid w:val="00DB5C2A"/>
    <w:rsid w:val="00DC0279"/>
    <w:rsid w:val="00DC1D3D"/>
    <w:rsid w:val="00DD7F33"/>
    <w:rsid w:val="00DE1A4E"/>
    <w:rsid w:val="00DE340A"/>
    <w:rsid w:val="00DE70E3"/>
    <w:rsid w:val="00DF11C6"/>
    <w:rsid w:val="00DF1728"/>
    <w:rsid w:val="00DF380C"/>
    <w:rsid w:val="00E009FA"/>
    <w:rsid w:val="00E02543"/>
    <w:rsid w:val="00E05C71"/>
    <w:rsid w:val="00E070E5"/>
    <w:rsid w:val="00E103E9"/>
    <w:rsid w:val="00E10B58"/>
    <w:rsid w:val="00E121A5"/>
    <w:rsid w:val="00E17BC0"/>
    <w:rsid w:val="00E21F87"/>
    <w:rsid w:val="00E24BCE"/>
    <w:rsid w:val="00E26939"/>
    <w:rsid w:val="00E3359D"/>
    <w:rsid w:val="00E42F47"/>
    <w:rsid w:val="00E45DE7"/>
    <w:rsid w:val="00E46C0F"/>
    <w:rsid w:val="00E53728"/>
    <w:rsid w:val="00E56755"/>
    <w:rsid w:val="00E56E3D"/>
    <w:rsid w:val="00E56FC6"/>
    <w:rsid w:val="00E61C09"/>
    <w:rsid w:val="00E74D3F"/>
    <w:rsid w:val="00E81571"/>
    <w:rsid w:val="00E82014"/>
    <w:rsid w:val="00E8245A"/>
    <w:rsid w:val="00E92408"/>
    <w:rsid w:val="00E933F2"/>
    <w:rsid w:val="00EA3A7E"/>
    <w:rsid w:val="00EB1028"/>
    <w:rsid w:val="00EB77EB"/>
    <w:rsid w:val="00EC0605"/>
    <w:rsid w:val="00EC0E70"/>
    <w:rsid w:val="00EC31E9"/>
    <w:rsid w:val="00ED2CF0"/>
    <w:rsid w:val="00EE0417"/>
    <w:rsid w:val="00EE1AE4"/>
    <w:rsid w:val="00EF3F2A"/>
    <w:rsid w:val="00EF587F"/>
    <w:rsid w:val="00F06CB2"/>
    <w:rsid w:val="00F25D72"/>
    <w:rsid w:val="00F35846"/>
    <w:rsid w:val="00F4351B"/>
    <w:rsid w:val="00F528D8"/>
    <w:rsid w:val="00F64A8B"/>
    <w:rsid w:val="00F71448"/>
    <w:rsid w:val="00F73806"/>
    <w:rsid w:val="00F8057A"/>
    <w:rsid w:val="00F82409"/>
    <w:rsid w:val="00F8679A"/>
    <w:rsid w:val="00F93A3D"/>
    <w:rsid w:val="00F95452"/>
    <w:rsid w:val="00FA0817"/>
    <w:rsid w:val="00FA5E1B"/>
    <w:rsid w:val="00FB15B7"/>
    <w:rsid w:val="00FB2FE2"/>
    <w:rsid w:val="00FC3095"/>
    <w:rsid w:val="00FD208E"/>
    <w:rsid w:val="00FD5AAA"/>
    <w:rsid w:val="00FE05F7"/>
    <w:rsid w:val="00FE2C72"/>
    <w:rsid w:val="00FF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079415F"/>
  <w15:chartTrackingRefBased/>
  <w15:docId w15:val="{BC192EA1-EABC-47B0-9171-91F43ECF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279"/>
    <w:rPr>
      <w:rFonts w:ascii="Arial" w:hAnsi="Arial"/>
      <w:lang w:eastAsia="de-AT"/>
    </w:rPr>
  </w:style>
  <w:style w:type="paragraph" w:styleId="Heading1">
    <w:name w:val="heading 1"/>
    <w:basedOn w:val="Normal"/>
    <w:next w:val="Normal"/>
    <w:qFormat/>
    <w:rsid w:val="00DC0279"/>
    <w:pPr>
      <w:keepNext/>
      <w:numPr>
        <w:numId w:val="5"/>
      </w:numPr>
      <w:spacing w:before="360" w:after="180"/>
      <w:outlineLvl w:val="0"/>
    </w:pPr>
    <w:rPr>
      <w:b/>
      <w:sz w:val="28"/>
    </w:rPr>
  </w:style>
  <w:style w:type="paragraph" w:styleId="Heading2">
    <w:name w:val="heading 2"/>
    <w:basedOn w:val="Heading1"/>
    <w:next w:val="Normal"/>
    <w:qFormat/>
    <w:rsid w:val="00DC0279"/>
    <w:pPr>
      <w:numPr>
        <w:ilvl w:val="1"/>
      </w:numPr>
      <w:outlineLvl w:val="1"/>
    </w:pPr>
    <w:rPr>
      <w:sz w:val="24"/>
    </w:rPr>
  </w:style>
  <w:style w:type="paragraph" w:styleId="Heading3">
    <w:name w:val="heading 3"/>
    <w:basedOn w:val="Heading2"/>
    <w:next w:val="Normal"/>
    <w:qFormat/>
    <w:rsid w:val="00DC0279"/>
    <w:pPr>
      <w:numPr>
        <w:ilvl w:val="2"/>
      </w:numPr>
      <w:spacing w:before="240" w:after="120"/>
      <w:outlineLvl w:val="2"/>
    </w:pPr>
    <w:rPr>
      <w:sz w:val="22"/>
    </w:rPr>
  </w:style>
  <w:style w:type="paragraph" w:styleId="Heading4">
    <w:name w:val="heading 4"/>
    <w:basedOn w:val="Heading3"/>
    <w:next w:val="Normal"/>
    <w:qFormat/>
    <w:rsid w:val="00DC0279"/>
    <w:pPr>
      <w:numPr>
        <w:ilvl w:val="3"/>
      </w:numPr>
      <w:outlineLvl w:val="3"/>
    </w:pPr>
    <w:rPr>
      <w:sz w:val="20"/>
    </w:rPr>
  </w:style>
  <w:style w:type="paragraph" w:styleId="Heading5">
    <w:name w:val="heading 5"/>
    <w:basedOn w:val="Heading4"/>
    <w:next w:val="Normal"/>
    <w:qFormat/>
    <w:rsid w:val="00DC0279"/>
    <w:pPr>
      <w:numPr>
        <w:ilvl w:val="4"/>
      </w:numPr>
      <w:spacing w:before="120" w:after="60"/>
      <w:outlineLvl w:val="4"/>
    </w:pPr>
  </w:style>
  <w:style w:type="paragraph" w:styleId="Heading6">
    <w:name w:val="heading 6"/>
    <w:basedOn w:val="Heading5"/>
    <w:next w:val="Normal"/>
    <w:qFormat/>
    <w:rsid w:val="00DC0279"/>
    <w:pPr>
      <w:numPr>
        <w:ilvl w:val="0"/>
        <w:numId w:val="0"/>
      </w:numPr>
      <w:outlineLvl w:val="5"/>
    </w:pPr>
  </w:style>
  <w:style w:type="paragraph" w:styleId="Heading7">
    <w:name w:val="heading 7"/>
    <w:basedOn w:val="Heading6"/>
    <w:next w:val="Normal"/>
    <w:qFormat/>
    <w:rsid w:val="00DC0279"/>
    <w:pPr>
      <w:outlineLvl w:val="6"/>
    </w:pPr>
  </w:style>
  <w:style w:type="paragraph" w:styleId="Heading8">
    <w:name w:val="heading 8"/>
    <w:basedOn w:val="Heading7"/>
    <w:next w:val="Normal"/>
    <w:qFormat/>
    <w:rsid w:val="00DC0279"/>
    <w:pPr>
      <w:outlineLvl w:val="7"/>
    </w:pPr>
  </w:style>
  <w:style w:type="paragraph" w:styleId="Heading9">
    <w:name w:val="heading 9"/>
    <w:basedOn w:val="Heading8"/>
    <w:next w:val="Normal"/>
    <w:qFormat/>
    <w:rsid w:val="00DC027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0279"/>
    <w:pPr>
      <w:keepLines/>
      <w:pBdr>
        <w:bottom w:val="single" w:sz="6" w:space="1" w:color="auto"/>
      </w:pBdr>
      <w:tabs>
        <w:tab w:val="right" w:pos="9389"/>
      </w:tabs>
    </w:pPr>
    <w:rPr>
      <w:sz w:val="16"/>
    </w:rPr>
  </w:style>
  <w:style w:type="paragraph" w:styleId="Footer">
    <w:name w:val="footer"/>
    <w:basedOn w:val="Normal"/>
    <w:link w:val="FooterChar"/>
    <w:uiPriority w:val="99"/>
    <w:rsid w:val="00DC0279"/>
    <w:pPr>
      <w:keepLines/>
      <w:tabs>
        <w:tab w:val="right" w:pos="9390"/>
      </w:tabs>
    </w:pPr>
    <w:rPr>
      <w:sz w:val="16"/>
    </w:rPr>
  </w:style>
  <w:style w:type="paragraph" w:styleId="BodyText">
    <w:name w:val="Body Text"/>
    <w:basedOn w:val="Normal"/>
    <w:rsid w:val="00DC0279"/>
    <w:pPr>
      <w:spacing w:after="120"/>
    </w:pPr>
  </w:style>
  <w:style w:type="character" w:styleId="CommentReference">
    <w:name w:val="annotation reference"/>
    <w:basedOn w:val="DefaultParagraphFont"/>
    <w:semiHidden/>
    <w:rsid w:val="00DC0279"/>
    <w:rPr>
      <w:rFonts w:ascii="Arial" w:hAnsi="Arial"/>
      <w:sz w:val="16"/>
    </w:rPr>
  </w:style>
  <w:style w:type="paragraph" w:styleId="Date">
    <w:name w:val="Date"/>
    <w:basedOn w:val="Normal"/>
    <w:next w:val="Normal"/>
    <w:rsid w:val="00DC0279"/>
  </w:style>
  <w:style w:type="paragraph" w:styleId="DocumentMap">
    <w:name w:val="Document Map"/>
    <w:basedOn w:val="Normal"/>
    <w:semiHidden/>
    <w:rsid w:val="00DC0279"/>
    <w:pPr>
      <w:shd w:val="clear" w:color="auto" w:fill="000080"/>
    </w:pPr>
  </w:style>
  <w:style w:type="character" w:styleId="Emphasis">
    <w:name w:val="Emphasis"/>
    <w:basedOn w:val="DefaultParagraphFont"/>
    <w:qFormat/>
    <w:rsid w:val="00DC0279"/>
    <w:rPr>
      <w:rFonts w:ascii="Arial" w:hAnsi="Arial"/>
      <w:i/>
    </w:rPr>
  </w:style>
  <w:style w:type="character" w:styleId="EndnoteReference">
    <w:name w:val="endnote reference"/>
    <w:basedOn w:val="DefaultParagraphFont"/>
    <w:semiHidden/>
    <w:rsid w:val="00DC0279"/>
    <w:rPr>
      <w:rFonts w:ascii="Arial" w:hAnsi="Arial"/>
      <w:vertAlign w:val="superscript"/>
    </w:rPr>
  </w:style>
  <w:style w:type="character" w:styleId="FollowedHyperlink">
    <w:name w:val="FollowedHyperlink"/>
    <w:basedOn w:val="DefaultParagraphFont"/>
    <w:rsid w:val="00DC0279"/>
    <w:rPr>
      <w:rFonts w:ascii="Arial" w:hAnsi="Arial"/>
      <w:color w:val="800080"/>
      <w:u w:val="single"/>
    </w:rPr>
  </w:style>
  <w:style w:type="character" w:styleId="FootnoteReference">
    <w:name w:val="footnote reference"/>
    <w:basedOn w:val="DefaultParagraphFont"/>
    <w:semiHidden/>
    <w:rsid w:val="00DC0279"/>
    <w:rPr>
      <w:rFonts w:ascii="Arial" w:hAnsi="Arial"/>
      <w:vertAlign w:val="superscript"/>
    </w:rPr>
  </w:style>
  <w:style w:type="paragraph" w:styleId="FootnoteText">
    <w:name w:val="footnote text"/>
    <w:basedOn w:val="Normal"/>
    <w:semiHidden/>
    <w:rsid w:val="00DC0279"/>
  </w:style>
  <w:style w:type="paragraph" w:customStyle="1" w:styleId="Heading0">
    <w:name w:val="Heading 0"/>
    <w:basedOn w:val="Normal"/>
    <w:next w:val="Normal"/>
    <w:rsid w:val="00DC0279"/>
    <w:pPr>
      <w:keepLines/>
      <w:spacing w:before="360" w:after="840"/>
    </w:pPr>
    <w:rPr>
      <w:b/>
      <w:sz w:val="32"/>
    </w:rPr>
  </w:style>
  <w:style w:type="character" w:styleId="Hyperlink">
    <w:name w:val="Hyperlink"/>
    <w:basedOn w:val="DefaultParagraphFont"/>
    <w:uiPriority w:val="99"/>
    <w:rsid w:val="00DC0279"/>
    <w:rPr>
      <w:rFonts w:ascii="Arial" w:hAnsi="Arial"/>
      <w:color w:val="0000FF"/>
      <w:u w:val="single"/>
    </w:rPr>
  </w:style>
  <w:style w:type="paragraph" w:styleId="Index1">
    <w:name w:val="index 1"/>
    <w:basedOn w:val="Normal"/>
    <w:next w:val="Normal"/>
    <w:autoRedefine/>
    <w:semiHidden/>
    <w:rsid w:val="00DC0279"/>
    <w:pPr>
      <w:ind w:left="200" w:hanging="200"/>
    </w:pPr>
  </w:style>
  <w:style w:type="paragraph" w:styleId="IndexHeading">
    <w:name w:val="index heading"/>
    <w:basedOn w:val="Normal"/>
    <w:next w:val="Index1"/>
    <w:semiHidden/>
    <w:rsid w:val="00DC0279"/>
    <w:rPr>
      <w:b/>
    </w:rPr>
  </w:style>
  <w:style w:type="character" w:styleId="LineNumber">
    <w:name w:val="line number"/>
    <w:basedOn w:val="DefaultParagraphFont"/>
    <w:rsid w:val="00DC0279"/>
    <w:rPr>
      <w:rFonts w:ascii="Arial" w:hAnsi="Arial"/>
    </w:rPr>
  </w:style>
  <w:style w:type="paragraph" w:styleId="ListBullet">
    <w:name w:val="List Bullet"/>
    <w:basedOn w:val="Normal"/>
    <w:rsid w:val="00DC0279"/>
    <w:pPr>
      <w:numPr>
        <w:numId w:val="7"/>
      </w:numPr>
    </w:pPr>
  </w:style>
  <w:style w:type="paragraph" w:styleId="ListBullet2">
    <w:name w:val="List Bullet 2"/>
    <w:basedOn w:val="Normal"/>
    <w:rsid w:val="00DC0279"/>
    <w:pPr>
      <w:numPr>
        <w:ilvl w:val="1"/>
        <w:numId w:val="9"/>
      </w:numPr>
      <w:tabs>
        <w:tab w:val="clear" w:pos="1369"/>
        <w:tab w:val="num" w:pos="643"/>
      </w:tabs>
      <w:ind w:left="643" w:hanging="360"/>
    </w:pPr>
  </w:style>
  <w:style w:type="paragraph" w:styleId="MacroText">
    <w:name w:val="macro"/>
    <w:semiHidden/>
    <w:rsid w:val="00DC0279"/>
    <w:pPr>
      <w:tabs>
        <w:tab w:val="left" w:pos="480"/>
        <w:tab w:val="left" w:pos="960"/>
        <w:tab w:val="left" w:pos="1440"/>
        <w:tab w:val="left" w:pos="1920"/>
        <w:tab w:val="left" w:pos="2400"/>
        <w:tab w:val="left" w:pos="2880"/>
        <w:tab w:val="left" w:pos="3360"/>
        <w:tab w:val="left" w:pos="3840"/>
        <w:tab w:val="left" w:pos="4320"/>
      </w:tabs>
    </w:pPr>
    <w:rPr>
      <w:rFonts w:ascii="Arial" w:hAnsi="Arial"/>
      <w:lang w:eastAsia="de-AT"/>
    </w:rPr>
  </w:style>
  <w:style w:type="paragraph" w:styleId="MessageHeader">
    <w:name w:val="Message Header"/>
    <w:basedOn w:val="Normal"/>
    <w:rsid w:val="00DC0279"/>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rsid w:val="00DC0279"/>
    <w:rPr>
      <w:sz w:val="24"/>
      <w:szCs w:val="24"/>
    </w:rPr>
  </w:style>
  <w:style w:type="character" w:styleId="PageNumber">
    <w:name w:val="page number"/>
    <w:basedOn w:val="DefaultParagraphFont"/>
    <w:rsid w:val="00DC0279"/>
    <w:rPr>
      <w:rFonts w:ascii="Arial" w:hAnsi="Arial"/>
    </w:rPr>
  </w:style>
  <w:style w:type="paragraph" w:styleId="PlainText">
    <w:name w:val="Plain Text"/>
    <w:basedOn w:val="Normal"/>
    <w:link w:val="PlainTextChar"/>
    <w:uiPriority w:val="99"/>
    <w:rsid w:val="00DC0279"/>
  </w:style>
  <w:style w:type="paragraph" w:customStyle="1" w:styleId="SourceCode">
    <w:name w:val="Source Code"/>
    <w:basedOn w:val="Normal"/>
    <w:rsid w:val="00DC0279"/>
    <w:rPr>
      <w:rFonts w:ascii="Courier New" w:hAnsi="Courier New"/>
      <w:sz w:val="16"/>
    </w:rPr>
  </w:style>
  <w:style w:type="character" w:styleId="Strong">
    <w:name w:val="Strong"/>
    <w:basedOn w:val="DefaultParagraphFont"/>
    <w:qFormat/>
    <w:rsid w:val="00DC0279"/>
    <w:rPr>
      <w:rFonts w:ascii="Arial" w:hAnsi="Arial"/>
      <w:b/>
    </w:rPr>
  </w:style>
  <w:style w:type="paragraph" w:styleId="Subtitle">
    <w:name w:val="Subtitle"/>
    <w:basedOn w:val="Normal"/>
    <w:qFormat/>
    <w:rsid w:val="00DC0279"/>
    <w:pPr>
      <w:spacing w:after="60"/>
      <w:jc w:val="center"/>
      <w:outlineLvl w:val="1"/>
    </w:pPr>
    <w:rPr>
      <w:sz w:val="24"/>
    </w:rPr>
  </w:style>
  <w:style w:type="table" w:styleId="Table3Deffects1">
    <w:name w:val="Table 3D effects 1"/>
    <w:basedOn w:val="TableNormal"/>
    <w:semiHidden/>
    <w:rsid w:val="00DC027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semiHidden/>
    <w:rsid w:val="00DC027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DC027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DC0279"/>
    <w:rPr>
      <w:rFonts w:ascii="Arial" w:hAnsi="Arial"/>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Pr>
    <w:tcPr>
      <w:shd w:val="clear" w:color="auto" w:fill="auto"/>
    </w:tcPr>
    <w:tblStylePr w:type="firstRow">
      <w:rPr>
        <w:b/>
        <w:bCs/>
        <w:color w:val="auto"/>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E6E6E6"/>
      </w:tcPr>
    </w:tblStylePr>
  </w:style>
  <w:style w:type="paragraph" w:styleId="Title">
    <w:name w:val="Title"/>
    <w:basedOn w:val="Normal"/>
    <w:next w:val="Normal"/>
    <w:qFormat/>
    <w:rsid w:val="00DC0279"/>
    <w:pPr>
      <w:spacing w:before="240" w:after="60"/>
      <w:jc w:val="center"/>
    </w:pPr>
    <w:rPr>
      <w:b/>
      <w:kern w:val="28"/>
      <w:sz w:val="32"/>
    </w:rPr>
  </w:style>
  <w:style w:type="paragraph" w:styleId="TOAHeading">
    <w:name w:val="toa heading"/>
    <w:basedOn w:val="Normal"/>
    <w:next w:val="Normal"/>
    <w:semiHidden/>
    <w:rsid w:val="00DC0279"/>
    <w:pPr>
      <w:spacing w:before="120"/>
    </w:pPr>
    <w:rPr>
      <w:b/>
      <w:sz w:val="24"/>
    </w:rPr>
  </w:style>
  <w:style w:type="paragraph" w:styleId="TOC1">
    <w:name w:val="toc 1"/>
    <w:basedOn w:val="Normal"/>
    <w:next w:val="Normal"/>
    <w:autoRedefine/>
    <w:semiHidden/>
    <w:rsid w:val="00DC0279"/>
    <w:pPr>
      <w:tabs>
        <w:tab w:val="left" w:pos="360"/>
        <w:tab w:val="right" w:leader="dot" w:pos="9379"/>
      </w:tabs>
      <w:spacing w:before="60"/>
    </w:pPr>
    <w:rPr>
      <w:b/>
    </w:rPr>
  </w:style>
  <w:style w:type="paragraph" w:styleId="TOC2">
    <w:name w:val="toc 2"/>
    <w:basedOn w:val="Normal"/>
    <w:next w:val="Normal"/>
    <w:autoRedefine/>
    <w:semiHidden/>
    <w:rsid w:val="00DC0279"/>
    <w:pPr>
      <w:tabs>
        <w:tab w:val="left" w:pos="630"/>
        <w:tab w:val="right" w:leader="dot" w:pos="9379"/>
      </w:tabs>
      <w:ind w:left="202"/>
    </w:pPr>
  </w:style>
  <w:style w:type="paragraph" w:styleId="TOC3">
    <w:name w:val="toc 3"/>
    <w:basedOn w:val="Normal"/>
    <w:next w:val="Normal"/>
    <w:autoRedefine/>
    <w:semiHidden/>
    <w:rsid w:val="00DC0279"/>
    <w:pPr>
      <w:tabs>
        <w:tab w:val="left" w:pos="990"/>
        <w:tab w:val="right" w:leader="dot" w:pos="9379"/>
      </w:tabs>
      <w:ind w:left="360"/>
    </w:pPr>
  </w:style>
  <w:style w:type="paragraph" w:styleId="ListParagraph">
    <w:name w:val="List Paragraph"/>
    <w:basedOn w:val="Normal"/>
    <w:uiPriority w:val="34"/>
    <w:qFormat/>
    <w:rsid w:val="00D228FA"/>
    <w:pPr>
      <w:ind w:left="720"/>
      <w:contextualSpacing/>
    </w:pPr>
  </w:style>
  <w:style w:type="character" w:customStyle="1" w:styleId="FooterChar">
    <w:name w:val="Footer Char"/>
    <w:basedOn w:val="DefaultParagraphFont"/>
    <w:link w:val="Footer"/>
    <w:uiPriority w:val="99"/>
    <w:rsid w:val="0083357F"/>
    <w:rPr>
      <w:rFonts w:ascii="Arial" w:hAnsi="Arial"/>
      <w:sz w:val="16"/>
      <w:lang w:eastAsia="de-AT"/>
    </w:rPr>
  </w:style>
  <w:style w:type="character" w:customStyle="1" w:styleId="PlainTextChar">
    <w:name w:val="Plain Text Char"/>
    <w:basedOn w:val="DefaultParagraphFont"/>
    <w:link w:val="PlainText"/>
    <w:uiPriority w:val="99"/>
    <w:rsid w:val="004F6BD6"/>
    <w:rPr>
      <w:rFonts w:ascii="Arial" w:hAnsi="Arial"/>
      <w:lang w:eastAsia="de-AT"/>
    </w:rPr>
  </w:style>
  <w:style w:type="character" w:styleId="UnresolvedMention">
    <w:name w:val="Unresolved Mention"/>
    <w:basedOn w:val="DefaultParagraphFont"/>
    <w:uiPriority w:val="99"/>
    <w:semiHidden/>
    <w:unhideWhenUsed/>
    <w:rsid w:val="004F6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715">
      <w:bodyDiv w:val="1"/>
      <w:marLeft w:val="0"/>
      <w:marRight w:val="0"/>
      <w:marTop w:val="0"/>
      <w:marBottom w:val="0"/>
      <w:divBdr>
        <w:top w:val="none" w:sz="0" w:space="0" w:color="auto"/>
        <w:left w:val="none" w:sz="0" w:space="0" w:color="auto"/>
        <w:bottom w:val="none" w:sz="0" w:space="0" w:color="auto"/>
        <w:right w:val="none" w:sz="0" w:space="0" w:color="auto"/>
      </w:divBdr>
    </w:div>
    <w:div w:id="82846443">
      <w:bodyDiv w:val="1"/>
      <w:marLeft w:val="0"/>
      <w:marRight w:val="0"/>
      <w:marTop w:val="0"/>
      <w:marBottom w:val="0"/>
      <w:divBdr>
        <w:top w:val="none" w:sz="0" w:space="0" w:color="auto"/>
        <w:left w:val="none" w:sz="0" w:space="0" w:color="auto"/>
        <w:bottom w:val="none" w:sz="0" w:space="0" w:color="auto"/>
        <w:right w:val="none" w:sz="0" w:space="0" w:color="auto"/>
      </w:divBdr>
    </w:div>
    <w:div w:id="120224778">
      <w:bodyDiv w:val="1"/>
      <w:marLeft w:val="0"/>
      <w:marRight w:val="0"/>
      <w:marTop w:val="0"/>
      <w:marBottom w:val="0"/>
      <w:divBdr>
        <w:top w:val="none" w:sz="0" w:space="0" w:color="auto"/>
        <w:left w:val="none" w:sz="0" w:space="0" w:color="auto"/>
        <w:bottom w:val="none" w:sz="0" w:space="0" w:color="auto"/>
        <w:right w:val="none" w:sz="0" w:space="0" w:color="auto"/>
      </w:divBdr>
    </w:div>
    <w:div w:id="163474747">
      <w:bodyDiv w:val="1"/>
      <w:marLeft w:val="0"/>
      <w:marRight w:val="0"/>
      <w:marTop w:val="0"/>
      <w:marBottom w:val="0"/>
      <w:divBdr>
        <w:top w:val="none" w:sz="0" w:space="0" w:color="auto"/>
        <w:left w:val="none" w:sz="0" w:space="0" w:color="auto"/>
        <w:bottom w:val="none" w:sz="0" w:space="0" w:color="auto"/>
        <w:right w:val="none" w:sz="0" w:space="0" w:color="auto"/>
      </w:divBdr>
    </w:div>
    <w:div w:id="180896846">
      <w:bodyDiv w:val="1"/>
      <w:marLeft w:val="0"/>
      <w:marRight w:val="0"/>
      <w:marTop w:val="0"/>
      <w:marBottom w:val="0"/>
      <w:divBdr>
        <w:top w:val="none" w:sz="0" w:space="0" w:color="auto"/>
        <w:left w:val="none" w:sz="0" w:space="0" w:color="auto"/>
        <w:bottom w:val="none" w:sz="0" w:space="0" w:color="auto"/>
        <w:right w:val="none" w:sz="0" w:space="0" w:color="auto"/>
      </w:divBdr>
    </w:div>
    <w:div w:id="260770258">
      <w:bodyDiv w:val="1"/>
      <w:marLeft w:val="0"/>
      <w:marRight w:val="0"/>
      <w:marTop w:val="0"/>
      <w:marBottom w:val="0"/>
      <w:divBdr>
        <w:top w:val="none" w:sz="0" w:space="0" w:color="auto"/>
        <w:left w:val="none" w:sz="0" w:space="0" w:color="auto"/>
        <w:bottom w:val="none" w:sz="0" w:space="0" w:color="auto"/>
        <w:right w:val="none" w:sz="0" w:space="0" w:color="auto"/>
      </w:divBdr>
    </w:div>
    <w:div w:id="330790556">
      <w:bodyDiv w:val="1"/>
      <w:marLeft w:val="0"/>
      <w:marRight w:val="0"/>
      <w:marTop w:val="0"/>
      <w:marBottom w:val="0"/>
      <w:divBdr>
        <w:top w:val="none" w:sz="0" w:space="0" w:color="auto"/>
        <w:left w:val="none" w:sz="0" w:space="0" w:color="auto"/>
        <w:bottom w:val="none" w:sz="0" w:space="0" w:color="auto"/>
        <w:right w:val="none" w:sz="0" w:space="0" w:color="auto"/>
      </w:divBdr>
    </w:div>
    <w:div w:id="341786441">
      <w:bodyDiv w:val="1"/>
      <w:marLeft w:val="0"/>
      <w:marRight w:val="0"/>
      <w:marTop w:val="0"/>
      <w:marBottom w:val="0"/>
      <w:divBdr>
        <w:top w:val="none" w:sz="0" w:space="0" w:color="auto"/>
        <w:left w:val="none" w:sz="0" w:space="0" w:color="auto"/>
        <w:bottom w:val="none" w:sz="0" w:space="0" w:color="auto"/>
        <w:right w:val="none" w:sz="0" w:space="0" w:color="auto"/>
      </w:divBdr>
    </w:div>
    <w:div w:id="427584513">
      <w:bodyDiv w:val="1"/>
      <w:marLeft w:val="0"/>
      <w:marRight w:val="0"/>
      <w:marTop w:val="0"/>
      <w:marBottom w:val="0"/>
      <w:divBdr>
        <w:top w:val="none" w:sz="0" w:space="0" w:color="auto"/>
        <w:left w:val="none" w:sz="0" w:space="0" w:color="auto"/>
        <w:bottom w:val="none" w:sz="0" w:space="0" w:color="auto"/>
        <w:right w:val="none" w:sz="0" w:space="0" w:color="auto"/>
      </w:divBdr>
    </w:div>
    <w:div w:id="434714770">
      <w:bodyDiv w:val="1"/>
      <w:marLeft w:val="0"/>
      <w:marRight w:val="0"/>
      <w:marTop w:val="0"/>
      <w:marBottom w:val="0"/>
      <w:divBdr>
        <w:top w:val="none" w:sz="0" w:space="0" w:color="auto"/>
        <w:left w:val="none" w:sz="0" w:space="0" w:color="auto"/>
        <w:bottom w:val="none" w:sz="0" w:space="0" w:color="auto"/>
        <w:right w:val="none" w:sz="0" w:space="0" w:color="auto"/>
      </w:divBdr>
    </w:div>
    <w:div w:id="490946456">
      <w:bodyDiv w:val="1"/>
      <w:marLeft w:val="0"/>
      <w:marRight w:val="0"/>
      <w:marTop w:val="0"/>
      <w:marBottom w:val="0"/>
      <w:divBdr>
        <w:top w:val="none" w:sz="0" w:space="0" w:color="auto"/>
        <w:left w:val="none" w:sz="0" w:space="0" w:color="auto"/>
        <w:bottom w:val="none" w:sz="0" w:space="0" w:color="auto"/>
        <w:right w:val="none" w:sz="0" w:space="0" w:color="auto"/>
      </w:divBdr>
    </w:div>
    <w:div w:id="503907261">
      <w:bodyDiv w:val="1"/>
      <w:marLeft w:val="0"/>
      <w:marRight w:val="0"/>
      <w:marTop w:val="0"/>
      <w:marBottom w:val="0"/>
      <w:divBdr>
        <w:top w:val="none" w:sz="0" w:space="0" w:color="auto"/>
        <w:left w:val="none" w:sz="0" w:space="0" w:color="auto"/>
        <w:bottom w:val="none" w:sz="0" w:space="0" w:color="auto"/>
        <w:right w:val="none" w:sz="0" w:space="0" w:color="auto"/>
      </w:divBdr>
    </w:div>
    <w:div w:id="531186031">
      <w:bodyDiv w:val="1"/>
      <w:marLeft w:val="0"/>
      <w:marRight w:val="0"/>
      <w:marTop w:val="0"/>
      <w:marBottom w:val="0"/>
      <w:divBdr>
        <w:top w:val="none" w:sz="0" w:space="0" w:color="auto"/>
        <w:left w:val="none" w:sz="0" w:space="0" w:color="auto"/>
        <w:bottom w:val="none" w:sz="0" w:space="0" w:color="auto"/>
        <w:right w:val="none" w:sz="0" w:space="0" w:color="auto"/>
      </w:divBdr>
    </w:div>
    <w:div w:id="534465789">
      <w:bodyDiv w:val="1"/>
      <w:marLeft w:val="0"/>
      <w:marRight w:val="0"/>
      <w:marTop w:val="0"/>
      <w:marBottom w:val="0"/>
      <w:divBdr>
        <w:top w:val="none" w:sz="0" w:space="0" w:color="auto"/>
        <w:left w:val="none" w:sz="0" w:space="0" w:color="auto"/>
        <w:bottom w:val="none" w:sz="0" w:space="0" w:color="auto"/>
        <w:right w:val="none" w:sz="0" w:space="0" w:color="auto"/>
      </w:divBdr>
    </w:div>
    <w:div w:id="562103583">
      <w:bodyDiv w:val="1"/>
      <w:marLeft w:val="0"/>
      <w:marRight w:val="0"/>
      <w:marTop w:val="0"/>
      <w:marBottom w:val="0"/>
      <w:divBdr>
        <w:top w:val="none" w:sz="0" w:space="0" w:color="auto"/>
        <w:left w:val="none" w:sz="0" w:space="0" w:color="auto"/>
        <w:bottom w:val="none" w:sz="0" w:space="0" w:color="auto"/>
        <w:right w:val="none" w:sz="0" w:space="0" w:color="auto"/>
      </w:divBdr>
    </w:div>
    <w:div w:id="577636147">
      <w:bodyDiv w:val="1"/>
      <w:marLeft w:val="0"/>
      <w:marRight w:val="0"/>
      <w:marTop w:val="0"/>
      <w:marBottom w:val="0"/>
      <w:divBdr>
        <w:top w:val="none" w:sz="0" w:space="0" w:color="auto"/>
        <w:left w:val="none" w:sz="0" w:space="0" w:color="auto"/>
        <w:bottom w:val="none" w:sz="0" w:space="0" w:color="auto"/>
        <w:right w:val="none" w:sz="0" w:space="0" w:color="auto"/>
      </w:divBdr>
    </w:div>
    <w:div w:id="673844271">
      <w:bodyDiv w:val="1"/>
      <w:marLeft w:val="0"/>
      <w:marRight w:val="0"/>
      <w:marTop w:val="0"/>
      <w:marBottom w:val="0"/>
      <w:divBdr>
        <w:top w:val="none" w:sz="0" w:space="0" w:color="auto"/>
        <w:left w:val="none" w:sz="0" w:space="0" w:color="auto"/>
        <w:bottom w:val="none" w:sz="0" w:space="0" w:color="auto"/>
        <w:right w:val="none" w:sz="0" w:space="0" w:color="auto"/>
      </w:divBdr>
    </w:div>
    <w:div w:id="674840896">
      <w:bodyDiv w:val="1"/>
      <w:marLeft w:val="0"/>
      <w:marRight w:val="0"/>
      <w:marTop w:val="0"/>
      <w:marBottom w:val="0"/>
      <w:divBdr>
        <w:top w:val="none" w:sz="0" w:space="0" w:color="auto"/>
        <w:left w:val="none" w:sz="0" w:space="0" w:color="auto"/>
        <w:bottom w:val="none" w:sz="0" w:space="0" w:color="auto"/>
        <w:right w:val="none" w:sz="0" w:space="0" w:color="auto"/>
      </w:divBdr>
    </w:div>
    <w:div w:id="726227189">
      <w:bodyDiv w:val="1"/>
      <w:marLeft w:val="0"/>
      <w:marRight w:val="0"/>
      <w:marTop w:val="0"/>
      <w:marBottom w:val="0"/>
      <w:divBdr>
        <w:top w:val="none" w:sz="0" w:space="0" w:color="auto"/>
        <w:left w:val="none" w:sz="0" w:space="0" w:color="auto"/>
        <w:bottom w:val="none" w:sz="0" w:space="0" w:color="auto"/>
        <w:right w:val="none" w:sz="0" w:space="0" w:color="auto"/>
      </w:divBdr>
    </w:div>
    <w:div w:id="732316286">
      <w:bodyDiv w:val="1"/>
      <w:marLeft w:val="0"/>
      <w:marRight w:val="0"/>
      <w:marTop w:val="0"/>
      <w:marBottom w:val="0"/>
      <w:divBdr>
        <w:top w:val="none" w:sz="0" w:space="0" w:color="auto"/>
        <w:left w:val="none" w:sz="0" w:space="0" w:color="auto"/>
        <w:bottom w:val="none" w:sz="0" w:space="0" w:color="auto"/>
        <w:right w:val="none" w:sz="0" w:space="0" w:color="auto"/>
      </w:divBdr>
    </w:div>
    <w:div w:id="787893166">
      <w:bodyDiv w:val="1"/>
      <w:marLeft w:val="0"/>
      <w:marRight w:val="0"/>
      <w:marTop w:val="0"/>
      <w:marBottom w:val="0"/>
      <w:divBdr>
        <w:top w:val="none" w:sz="0" w:space="0" w:color="auto"/>
        <w:left w:val="none" w:sz="0" w:space="0" w:color="auto"/>
        <w:bottom w:val="none" w:sz="0" w:space="0" w:color="auto"/>
        <w:right w:val="none" w:sz="0" w:space="0" w:color="auto"/>
      </w:divBdr>
    </w:div>
    <w:div w:id="792216209">
      <w:bodyDiv w:val="1"/>
      <w:marLeft w:val="0"/>
      <w:marRight w:val="0"/>
      <w:marTop w:val="0"/>
      <w:marBottom w:val="0"/>
      <w:divBdr>
        <w:top w:val="none" w:sz="0" w:space="0" w:color="auto"/>
        <w:left w:val="none" w:sz="0" w:space="0" w:color="auto"/>
        <w:bottom w:val="none" w:sz="0" w:space="0" w:color="auto"/>
        <w:right w:val="none" w:sz="0" w:space="0" w:color="auto"/>
      </w:divBdr>
    </w:div>
    <w:div w:id="835535970">
      <w:bodyDiv w:val="1"/>
      <w:marLeft w:val="0"/>
      <w:marRight w:val="0"/>
      <w:marTop w:val="0"/>
      <w:marBottom w:val="0"/>
      <w:divBdr>
        <w:top w:val="none" w:sz="0" w:space="0" w:color="auto"/>
        <w:left w:val="none" w:sz="0" w:space="0" w:color="auto"/>
        <w:bottom w:val="none" w:sz="0" w:space="0" w:color="auto"/>
        <w:right w:val="none" w:sz="0" w:space="0" w:color="auto"/>
      </w:divBdr>
    </w:div>
    <w:div w:id="862789712">
      <w:bodyDiv w:val="1"/>
      <w:marLeft w:val="0"/>
      <w:marRight w:val="0"/>
      <w:marTop w:val="0"/>
      <w:marBottom w:val="0"/>
      <w:divBdr>
        <w:top w:val="none" w:sz="0" w:space="0" w:color="auto"/>
        <w:left w:val="none" w:sz="0" w:space="0" w:color="auto"/>
        <w:bottom w:val="none" w:sz="0" w:space="0" w:color="auto"/>
        <w:right w:val="none" w:sz="0" w:space="0" w:color="auto"/>
      </w:divBdr>
    </w:div>
    <w:div w:id="898706783">
      <w:bodyDiv w:val="1"/>
      <w:marLeft w:val="0"/>
      <w:marRight w:val="0"/>
      <w:marTop w:val="0"/>
      <w:marBottom w:val="0"/>
      <w:divBdr>
        <w:top w:val="none" w:sz="0" w:space="0" w:color="auto"/>
        <w:left w:val="none" w:sz="0" w:space="0" w:color="auto"/>
        <w:bottom w:val="none" w:sz="0" w:space="0" w:color="auto"/>
        <w:right w:val="none" w:sz="0" w:space="0" w:color="auto"/>
      </w:divBdr>
    </w:div>
    <w:div w:id="911429021">
      <w:bodyDiv w:val="1"/>
      <w:marLeft w:val="0"/>
      <w:marRight w:val="0"/>
      <w:marTop w:val="0"/>
      <w:marBottom w:val="0"/>
      <w:divBdr>
        <w:top w:val="none" w:sz="0" w:space="0" w:color="auto"/>
        <w:left w:val="none" w:sz="0" w:space="0" w:color="auto"/>
        <w:bottom w:val="none" w:sz="0" w:space="0" w:color="auto"/>
        <w:right w:val="none" w:sz="0" w:space="0" w:color="auto"/>
      </w:divBdr>
    </w:div>
    <w:div w:id="912393824">
      <w:bodyDiv w:val="1"/>
      <w:marLeft w:val="0"/>
      <w:marRight w:val="0"/>
      <w:marTop w:val="0"/>
      <w:marBottom w:val="0"/>
      <w:divBdr>
        <w:top w:val="none" w:sz="0" w:space="0" w:color="auto"/>
        <w:left w:val="none" w:sz="0" w:space="0" w:color="auto"/>
        <w:bottom w:val="none" w:sz="0" w:space="0" w:color="auto"/>
        <w:right w:val="none" w:sz="0" w:space="0" w:color="auto"/>
      </w:divBdr>
    </w:div>
    <w:div w:id="921259199">
      <w:bodyDiv w:val="1"/>
      <w:marLeft w:val="0"/>
      <w:marRight w:val="0"/>
      <w:marTop w:val="0"/>
      <w:marBottom w:val="0"/>
      <w:divBdr>
        <w:top w:val="none" w:sz="0" w:space="0" w:color="auto"/>
        <w:left w:val="none" w:sz="0" w:space="0" w:color="auto"/>
        <w:bottom w:val="none" w:sz="0" w:space="0" w:color="auto"/>
        <w:right w:val="none" w:sz="0" w:space="0" w:color="auto"/>
      </w:divBdr>
    </w:div>
    <w:div w:id="927075408">
      <w:bodyDiv w:val="1"/>
      <w:marLeft w:val="0"/>
      <w:marRight w:val="0"/>
      <w:marTop w:val="0"/>
      <w:marBottom w:val="0"/>
      <w:divBdr>
        <w:top w:val="none" w:sz="0" w:space="0" w:color="auto"/>
        <w:left w:val="none" w:sz="0" w:space="0" w:color="auto"/>
        <w:bottom w:val="none" w:sz="0" w:space="0" w:color="auto"/>
        <w:right w:val="none" w:sz="0" w:space="0" w:color="auto"/>
      </w:divBdr>
    </w:div>
    <w:div w:id="1003512401">
      <w:bodyDiv w:val="1"/>
      <w:marLeft w:val="0"/>
      <w:marRight w:val="0"/>
      <w:marTop w:val="0"/>
      <w:marBottom w:val="0"/>
      <w:divBdr>
        <w:top w:val="none" w:sz="0" w:space="0" w:color="auto"/>
        <w:left w:val="none" w:sz="0" w:space="0" w:color="auto"/>
        <w:bottom w:val="none" w:sz="0" w:space="0" w:color="auto"/>
        <w:right w:val="none" w:sz="0" w:space="0" w:color="auto"/>
      </w:divBdr>
    </w:div>
    <w:div w:id="1067654351">
      <w:bodyDiv w:val="1"/>
      <w:marLeft w:val="0"/>
      <w:marRight w:val="0"/>
      <w:marTop w:val="0"/>
      <w:marBottom w:val="0"/>
      <w:divBdr>
        <w:top w:val="none" w:sz="0" w:space="0" w:color="auto"/>
        <w:left w:val="none" w:sz="0" w:space="0" w:color="auto"/>
        <w:bottom w:val="none" w:sz="0" w:space="0" w:color="auto"/>
        <w:right w:val="none" w:sz="0" w:space="0" w:color="auto"/>
      </w:divBdr>
    </w:div>
    <w:div w:id="1148204150">
      <w:bodyDiv w:val="1"/>
      <w:marLeft w:val="0"/>
      <w:marRight w:val="0"/>
      <w:marTop w:val="0"/>
      <w:marBottom w:val="0"/>
      <w:divBdr>
        <w:top w:val="none" w:sz="0" w:space="0" w:color="auto"/>
        <w:left w:val="none" w:sz="0" w:space="0" w:color="auto"/>
        <w:bottom w:val="none" w:sz="0" w:space="0" w:color="auto"/>
        <w:right w:val="none" w:sz="0" w:space="0" w:color="auto"/>
      </w:divBdr>
    </w:div>
    <w:div w:id="1167987051">
      <w:bodyDiv w:val="1"/>
      <w:marLeft w:val="0"/>
      <w:marRight w:val="0"/>
      <w:marTop w:val="0"/>
      <w:marBottom w:val="0"/>
      <w:divBdr>
        <w:top w:val="none" w:sz="0" w:space="0" w:color="auto"/>
        <w:left w:val="none" w:sz="0" w:space="0" w:color="auto"/>
        <w:bottom w:val="none" w:sz="0" w:space="0" w:color="auto"/>
        <w:right w:val="none" w:sz="0" w:space="0" w:color="auto"/>
      </w:divBdr>
    </w:div>
    <w:div w:id="1168207089">
      <w:bodyDiv w:val="1"/>
      <w:marLeft w:val="0"/>
      <w:marRight w:val="0"/>
      <w:marTop w:val="0"/>
      <w:marBottom w:val="0"/>
      <w:divBdr>
        <w:top w:val="none" w:sz="0" w:space="0" w:color="auto"/>
        <w:left w:val="none" w:sz="0" w:space="0" w:color="auto"/>
        <w:bottom w:val="none" w:sz="0" w:space="0" w:color="auto"/>
        <w:right w:val="none" w:sz="0" w:space="0" w:color="auto"/>
      </w:divBdr>
    </w:div>
    <w:div w:id="1169831085">
      <w:bodyDiv w:val="1"/>
      <w:marLeft w:val="0"/>
      <w:marRight w:val="0"/>
      <w:marTop w:val="0"/>
      <w:marBottom w:val="0"/>
      <w:divBdr>
        <w:top w:val="none" w:sz="0" w:space="0" w:color="auto"/>
        <w:left w:val="none" w:sz="0" w:space="0" w:color="auto"/>
        <w:bottom w:val="none" w:sz="0" w:space="0" w:color="auto"/>
        <w:right w:val="none" w:sz="0" w:space="0" w:color="auto"/>
      </w:divBdr>
    </w:div>
    <w:div w:id="1203128198">
      <w:bodyDiv w:val="1"/>
      <w:marLeft w:val="0"/>
      <w:marRight w:val="0"/>
      <w:marTop w:val="0"/>
      <w:marBottom w:val="0"/>
      <w:divBdr>
        <w:top w:val="none" w:sz="0" w:space="0" w:color="auto"/>
        <w:left w:val="none" w:sz="0" w:space="0" w:color="auto"/>
        <w:bottom w:val="none" w:sz="0" w:space="0" w:color="auto"/>
        <w:right w:val="none" w:sz="0" w:space="0" w:color="auto"/>
      </w:divBdr>
    </w:div>
    <w:div w:id="1220507797">
      <w:bodyDiv w:val="1"/>
      <w:marLeft w:val="0"/>
      <w:marRight w:val="0"/>
      <w:marTop w:val="0"/>
      <w:marBottom w:val="0"/>
      <w:divBdr>
        <w:top w:val="none" w:sz="0" w:space="0" w:color="auto"/>
        <w:left w:val="none" w:sz="0" w:space="0" w:color="auto"/>
        <w:bottom w:val="none" w:sz="0" w:space="0" w:color="auto"/>
        <w:right w:val="none" w:sz="0" w:space="0" w:color="auto"/>
      </w:divBdr>
    </w:div>
    <w:div w:id="1221867837">
      <w:bodyDiv w:val="1"/>
      <w:marLeft w:val="0"/>
      <w:marRight w:val="0"/>
      <w:marTop w:val="0"/>
      <w:marBottom w:val="0"/>
      <w:divBdr>
        <w:top w:val="none" w:sz="0" w:space="0" w:color="auto"/>
        <w:left w:val="none" w:sz="0" w:space="0" w:color="auto"/>
        <w:bottom w:val="none" w:sz="0" w:space="0" w:color="auto"/>
        <w:right w:val="none" w:sz="0" w:space="0" w:color="auto"/>
      </w:divBdr>
    </w:div>
    <w:div w:id="1224483144">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33081414">
      <w:bodyDiv w:val="1"/>
      <w:marLeft w:val="0"/>
      <w:marRight w:val="0"/>
      <w:marTop w:val="0"/>
      <w:marBottom w:val="0"/>
      <w:divBdr>
        <w:top w:val="none" w:sz="0" w:space="0" w:color="auto"/>
        <w:left w:val="none" w:sz="0" w:space="0" w:color="auto"/>
        <w:bottom w:val="none" w:sz="0" w:space="0" w:color="auto"/>
        <w:right w:val="none" w:sz="0" w:space="0" w:color="auto"/>
      </w:divBdr>
    </w:div>
    <w:div w:id="1330905725">
      <w:bodyDiv w:val="1"/>
      <w:marLeft w:val="0"/>
      <w:marRight w:val="0"/>
      <w:marTop w:val="0"/>
      <w:marBottom w:val="0"/>
      <w:divBdr>
        <w:top w:val="none" w:sz="0" w:space="0" w:color="auto"/>
        <w:left w:val="none" w:sz="0" w:space="0" w:color="auto"/>
        <w:bottom w:val="none" w:sz="0" w:space="0" w:color="auto"/>
        <w:right w:val="none" w:sz="0" w:space="0" w:color="auto"/>
      </w:divBdr>
    </w:div>
    <w:div w:id="1339775112">
      <w:bodyDiv w:val="1"/>
      <w:marLeft w:val="0"/>
      <w:marRight w:val="0"/>
      <w:marTop w:val="0"/>
      <w:marBottom w:val="0"/>
      <w:divBdr>
        <w:top w:val="none" w:sz="0" w:space="0" w:color="auto"/>
        <w:left w:val="none" w:sz="0" w:space="0" w:color="auto"/>
        <w:bottom w:val="none" w:sz="0" w:space="0" w:color="auto"/>
        <w:right w:val="none" w:sz="0" w:space="0" w:color="auto"/>
      </w:divBdr>
    </w:div>
    <w:div w:id="1340767338">
      <w:bodyDiv w:val="1"/>
      <w:marLeft w:val="0"/>
      <w:marRight w:val="0"/>
      <w:marTop w:val="0"/>
      <w:marBottom w:val="0"/>
      <w:divBdr>
        <w:top w:val="none" w:sz="0" w:space="0" w:color="auto"/>
        <w:left w:val="none" w:sz="0" w:space="0" w:color="auto"/>
        <w:bottom w:val="none" w:sz="0" w:space="0" w:color="auto"/>
        <w:right w:val="none" w:sz="0" w:space="0" w:color="auto"/>
      </w:divBdr>
    </w:div>
    <w:div w:id="1362197281">
      <w:bodyDiv w:val="1"/>
      <w:marLeft w:val="0"/>
      <w:marRight w:val="0"/>
      <w:marTop w:val="0"/>
      <w:marBottom w:val="0"/>
      <w:divBdr>
        <w:top w:val="none" w:sz="0" w:space="0" w:color="auto"/>
        <w:left w:val="none" w:sz="0" w:space="0" w:color="auto"/>
        <w:bottom w:val="none" w:sz="0" w:space="0" w:color="auto"/>
        <w:right w:val="none" w:sz="0" w:space="0" w:color="auto"/>
      </w:divBdr>
    </w:div>
    <w:div w:id="1362589109">
      <w:bodyDiv w:val="1"/>
      <w:marLeft w:val="0"/>
      <w:marRight w:val="0"/>
      <w:marTop w:val="0"/>
      <w:marBottom w:val="0"/>
      <w:divBdr>
        <w:top w:val="none" w:sz="0" w:space="0" w:color="auto"/>
        <w:left w:val="none" w:sz="0" w:space="0" w:color="auto"/>
        <w:bottom w:val="none" w:sz="0" w:space="0" w:color="auto"/>
        <w:right w:val="none" w:sz="0" w:space="0" w:color="auto"/>
      </w:divBdr>
    </w:div>
    <w:div w:id="1375807533">
      <w:bodyDiv w:val="1"/>
      <w:marLeft w:val="0"/>
      <w:marRight w:val="0"/>
      <w:marTop w:val="0"/>
      <w:marBottom w:val="0"/>
      <w:divBdr>
        <w:top w:val="none" w:sz="0" w:space="0" w:color="auto"/>
        <w:left w:val="none" w:sz="0" w:space="0" w:color="auto"/>
        <w:bottom w:val="none" w:sz="0" w:space="0" w:color="auto"/>
        <w:right w:val="none" w:sz="0" w:space="0" w:color="auto"/>
      </w:divBdr>
    </w:div>
    <w:div w:id="1392731989">
      <w:bodyDiv w:val="1"/>
      <w:marLeft w:val="0"/>
      <w:marRight w:val="0"/>
      <w:marTop w:val="0"/>
      <w:marBottom w:val="0"/>
      <w:divBdr>
        <w:top w:val="none" w:sz="0" w:space="0" w:color="auto"/>
        <w:left w:val="none" w:sz="0" w:space="0" w:color="auto"/>
        <w:bottom w:val="none" w:sz="0" w:space="0" w:color="auto"/>
        <w:right w:val="none" w:sz="0" w:space="0" w:color="auto"/>
      </w:divBdr>
    </w:div>
    <w:div w:id="1393624150">
      <w:bodyDiv w:val="1"/>
      <w:marLeft w:val="0"/>
      <w:marRight w:val="0"/>
      <w:marTop w:val="0"/>
      <w:marBottom w:val="0"/>
      <w:divBdr>
        <w:top w:val="none" w:sz="0" w:space="0" w:color="auto"/>
        <w:left w:val="none" w:sz="0" w:space="0" w:color="auto"/>
        <w:bottom w:val="none" w:sz="0" w:space="0" w:color="auto"/>
        <w:right w:val="none" w:sz="0" w:space="0" w:color="auto"/>
      </w:divBdr>
    </w:div>
    <w:div w:id="1421366019">
      <w:bodyDiv w:val="1"/>
      <w:marLeft w:val="0"/>
      <w:marRight w:val="0"/>
      <w:marTop w:val="0"/>
      <w:marBottom w:val="0"/>
      <w:divBdr>
        <w:top w:val="none" w:sz="0" w:space="0" w:color="auto"/>
        <w:left w:val="none" w:sz="0" w:space="0" w:color="auto"/>
        <w:bottom w:val="none" w:sz="0" w:space="0" w:color="auto"/>
        <w:right w:val="none" w:sz="0" w:space="0" w:color="auto"/>
      </w:divBdr>
    </w:div>
    <w:div w:id="1445538377">
      <w:bodyDiv w:val="1"/>
      <w:marLeft w:val="0"/>
      <w:marRight w:val="0"/>
      <w:marTop w:val="0"/>
      <w:marBottom w:val="0"/>
      <w:divBdr>
        <w:top w:val="none" w:sz="0" w:space="0" w:color="auto"/>
        <w:left w:val="none" w:sz="0" w:space="0" w:color="auto"/>
        <w:bottom w:val="none" w:sz="0" w:space="0" w:color="auto"/>
        <w:right w:val="none" w:sz="0" w:space="0" w:color="auto"/>
      </w:divBdr>
    </w:div>
    <w:div w:id="1491091545">
      <w:bodyDiv w:val="1"/>
      <w:marLeft w:val="0"/>
      <w:marRight w:val="0"/>
      <w:marTop w:val="0"/>
      <w:marBottom w:val="0"/>
      <w:divBdr>
        <w:top w:val="none" w:sz="0" w:space="0" w:color="auto"/>
        <w:left w:val="none" w:sz="0" w:space="0" w:color="auto"/>
        <w:bottom w:val="none" w:sz="0" w:space="0" w:color="auto"/>
        <w:right w:val="none" w:sz="0" w:space="0" w:color="auto"/>
      </w:divBdr>
    </w:div>
    <w:div w:id="1504126760">
      <w:bodyDiv w:val="1"/>
      <w:marLeft w:val="0"/>
      <w:marRight w:val="0"/>
      <w:marTop w:val="0"/>
      <w:marBottom w:val="0"/>
      <w:divBdr>
        <w:top w:val="none" w:sz="0" w:space="0" w:color="auto"/>
        <w:left w:val="none" w:sz="0" w:space="0" w:color="auto"/>
        <w:bottom w:val="none" w:sz="0" w:space="0" w:color="auto"/>
        <w:right w:val="none" w:sz="0" w:space="0" w:color="auto"/>
      </w:divBdr>
    </w:div>
    <w:div w:id="1525166953">
      <w:bodyDiv w:val="1"/>
      <w:marLeft w:val="0"/>
      <w:marRight w:val="0"/>
      <w:marTop w:val="0"/>
      <w:marBottom w:val="0"/>
      <w:divBdr>
        <w:top w:val="none" w:sz="0" w:space="0" w:color="auto"/>
        <w:left w:val="none" w:sz="0" w:space="0" w:color="auto"/>
        <w:bottom w:val="none" w:sz="0" w:space="0" w:color="auto"/>
        <w:right w:val="none" w:sz="0" w:space="0" w:color="auto"/>
      </w:divBdr>
    </w:div>
    <w:div w:id="1542863073">
      <w:bodyDiv w:val="1"/>
      <w:marLeft w:val="0"/>
      <w:marRight w:val="0"/>
      <w:marTop w:val="0"/>
      <w:marBottom w:val="0"/>
      <w:divBdr>
        <w:top w:val="none" w:sz="0" w:space="0" w:color="auto"/>
        <w:left w:val="none" w:sz="0" w:space="0" w:color="auto"/>
        <w:bottom w:val="none" w:sz="0" w:space="0" w:color="auto"/>
        <w:right w:val="none" w:sz="0" w:space="0" w:color="auto"/>
      </w:divBdr>
    </w:div>
    <w:div w:id="1574241016">
      <w:bodyDiv w:val="1"/>
      <w:marLeft w:val="0"/>
      <w:marRight w:val="0"/>
      <w:marTop w:val="0"/>
      <w:marBottom w:val="0"/>
      <w:divBdr>
        <w:top w:val="none" w:sz="0" w:space="0" w:color="auto"/>
        <w:left w:val="none" w:sz="0" w:space="0" w:color="auto"/>
        <w:bottom w:val="none" w:sz="0" w:space="0" w:color="auto"/>
        <w:right w:val="none" w:sz="0" w:space="0" w:color="auto"/>
      </w:divBdr>
    </w:div>
    <w:div w:id="1607539027">
      <w:bodyDiv w:val="1"/>
      <w:marLeft w:val="0"/>
      <w:marRight w:val="0"/>
      <w:marTop w:val="0"/>
      <w:marBottom w:val="0"/>
      <w:divBdr>
        <w:top w:val="none" w:sz="0" w:space="0" w:color="auto"/>
        <w:left w:val="none" w:sz="0" w:space="0" w:color="auto"/>
        <w:bottom w:val="none" w:sz="0" w:space="0" w:color="auto"/>
        <w:right w:val="none" w:sz="0" w:space="0" w:color="auto"/>
      </w:divBdr>
    </w:div>
    <w:div w:id="1690444386">
      <w:bodyDiv w:val="1"/>
      <w:marLeft w:val="0"/>
      <w:marRight w:val="0"/>
      <w:marTop w:val="0"/>
      <w:marBottom w:val="0"/>
      <w:divBdr>
        <w:top w:val="none" w:sz="0" w:space="0" w:color="auto"/>
        <w:left w:val="none" w:sz="0" w:space="0" w:color="auto"/>
        <w:bottom w:val="none" w:sz="0" w:space="0" w:color="auto"/>
        <w:right w:val="none" w:sz="0" w:space="0" w:color="auto"/>
      </w:divBdr>
    </w:div>
    <w:div w:id="1707482833">
      <w:bodyDiv w:val="1"/>
      <w:marLeft w:val="0"/>
      <w:marRight w:val="0"/>
      <w:marTop w:val="0"/>
      <w:marBottom w:val="0"/>
      <w:divBdr>
        <w:top w:val="none" w:sz="0" w:space="0" w:color="auto"/>
        <w:left w:val="none" w:sz="0" w:space="0" w:color="auto"/>
        <w:bottom w:val="none" w:sz="0" w:space="0" w:color="auto"/>
        <w:right w:val="none" w:sz="0" w:space="0" w:color="auto"/>
      </w:divBdr>
    </w:div>
    <w:div w:id="1711177372">
      <w:bodyDiv w:val="1"/>
      <w:marLeft w:val="0"/>
      <w:marRight w:val="0"/>
      <w:marTop w:val="0"/>
      <w:marBottom w:val="0"/>
      <w:divBdr>
        <w:top w:val="none" w:sz="0" w:space="0" w:color="auto"/>
        <w:left w:val="none" w:sz="0" w:space="0" w:color="auto"/>
        <w:bottom w:val="none" w:sz="0" w:space="0" w:color="auto"/>
        <w:right w:val="none" w:sz="0" w:space="0" w:color="auto"/>
      </w:divBdr>
    </w:div>
    <w:div w:id="1718159644">
      <w:bodyDiv w:val="1"/>
      <w:marLeft w:val="0"/>
      <w:marRight w:val="0"/>
      <w:marTop w:val="0"/>
      <w:marBottom w:val="0"/>
      <w:divBdr>
        <w:top w:val="none" w:sz="0" w:space="0" w:color="auto"/>
        <w:left w:val="none" w:sz="0" w:space="0" w:color="auto"/>
        <w:bottom w:val="none" w:sz="0" w:space="0" w:color="auto"/>
        <w:right w:val="none" w:sz="0" w:space="0" w:color="auto"/>
      </w:divBdr>
    </w:div>
    <w:div w:id="1727754147">
      <w:bodyDiv w:val="1"/>
      <w:marLeft w:val="0"/>
      <w:marRight w:val="0"/>
      <w:marTop w:val="0"/>
      <w:marBottom w:val="0"/>
      <w:divBdr>
        <w:top w:val="none" w:sz="0" w:space="0" w:color="auto"/>
        <w:left w:val="none" w:sz="0" w:space="0" w:color="auto"/>
        <w:bottom w:val="none" w:sz="0" w:space="0" w:color="auto"/>
        <w:right w:val="none" w:sz="0" w:space="0" w:color="auto"/>
      </w:divBdr>
    </w:div>
    <w:div w:id="1769692594">
      <w:bodyDiv w:val="1"/>
      <w:marLeft w:val="0"/>
      <w:marRight w:val="0"/>
      <w:marTop w:val="0"/>
      <w:marBottom w:val="0"/>
      <w:divBdr>
        <w:top w:val="none" w:sz="0" w:space="0" w:color="auto"/>
        <w:left w:val="none" w:sz="0" w:space="0" w:color="auto"/>
        <w:bottom w:val="none" w:sz="0" w:space="0" w:color="auto"/>
        <w:right w:val="none" w:sz="0" w:space="0" w:color="auto"/>
      </w:divBdr>
    </w:div>
    <w:div w:id="1782997136">
      <w:bodyDiv w:val="1"/>
      <w:marLeft w:val="0"/>
      <w:marRight w:val="0"/>
      <w:marTop w:val="0"/>
      <w:marBottom w:val="0"/>
      <w:divBdr>
        <w:top w:val="none" w:sz="0" w:space="0" w:color="auto"/>
        <w:left w:val="none" w:sz="0" w:space="0" w:color="auto"/>
        <w:bottom w:val="none" w:sz="0" w:space="0" w:color="auto"/>
        <w:right w:val="none" w:sz="0" w:space="0" w:color="auto"/>
      </w:divBdr>
    </w:div>
    <w:div w:id="1805200588">
      <w:bodyDiv w:val="1"/>
      <w:marLeft w:val="0"/>
      <w:marRight w:val="0"/>
      <w:marTop w:val="0"/>
      <w:marBottom w:val="0"/>
      <w:divBdr>
        <w:top w:val="none" w:sz="0" w:space="0" w:color="auto"/>
        <w:left w:val="none" w:sz="0" w:space="0" w:color="auto"/>
        <w:bottom w:val="none" w:sz="0" w:space="0" w:color="auto"/>
        <w:right w:val="none" w:sz="0" w:space="0" w:color="auto"/>
      </w:divBdr>
    </w:div>
    <w:div w:id="1832914895">
      <w:bodyDiv w:val="1"/>
      <w:marLeft w:val="0"/>
      <w:marRight w:val="0"/>
      <w:marTop w:val="0"/>
      <w:marBottom w:val="0"/>
      <w:divBdr>
        <w:top w:val="none" w:sz="0" w:space="0" w:color="auto"/>
        <w:left w:val="none" w:sz="0" w:space="0" w:color="auto"/>
        <w:bottom w:val="none" w:sz="0" w:space="0" w:color="auto"/>
        <w:right w:val="none" w:sz="0" w:space="0" w:color="auto"/>
      </w:divBdr>
    </w:div>
    <w:div w:id="1875581898">
      <w:bodyDiv w:val="1"/>
      <w:marLeft w:val="0"/>
      <w:marRight w:val="0"/>
      <w:marTop w:val="0"/>
      <w:marBottom w:val="0"/>
      <w:divBdr>
        <w:top w:val="none" w:sz="0" w:space="0" w:color="auto"/>
        <w:left w:val="none" w:sz="0" w:space="0" w:color="auto"/>
        <w:bottom w:val="none" w:sz="0" w:space="0" w:color="auto"/>
        <w:right w:val="none" w:sz="0" w:space="0" w:color="auto"/>
      </w:divBdr>
    </w:div>
    <w:div w:id="1910188539">
      <w:bodyDiv w:val="1"/>
      <w:marLeft w:val="0"/>
      <w:marRight w:val="0"/>
      <w:marTop w:val="0"/>
      <w:marBottom w:val="0"/>
      <w:divBdr>
        <w:top w:val="none" w:sz="0" w:space="0" w:color="auto"/>
        <w:left w:val="none" w:sz="0" w:space="0" w:color="auto"/>
        <w:bottom w:val="none" w:sz="0" w:space="0" w:color="auto"/>
        <w:right w:val="none" w:sz="0" w:space="0" w:color="auto"/>
      </w:divBdr>
    </w:div>
    <w:div w:id="1951886475">
      <w:bodyDiv w:val="1"/>
      <w:marLeft w:val="0"/>
      <w:marRight w:val="0"/>
      <w:marTop w:val="0"/>
      <w:marBottom w:val="0"/>
      <w:divBdr>
        <w:top w:val="none" w:sz="0" w:space="0" w:color="auto"/>
        <w:left w:val="none" w:sz="0" w:space="0" w:color="auto"/>
        <w:bottom w:val="none" w:sz="0" w:space="0" w:color="auto"/>
        <w:right w:val="none" w:sz="0" w:space="0" w:color="auto"/>
      </w:divBdr>
    </w:div>
    <w:div w:id="1963681440">
      <w:bodyDiv w:val="1"/>
      <w:marLeft w:val="0"/>
      <w:marRight w:val="0"/>
      <w:marTop w:val="0"/>
      <w:marBottom w:val="0"/>
      <w:divBdr>
        <w:top w:val="none" w:sz="0" w:space="0" w:color="auto"/>
        <w:left w:val="none" w:sz="0" w:space="0" w:color="auto"/>
        <w:bottom w:val="none" w:sz="0" w:space="0" w:color="auto"/>
        <w:right w:val="none" w:sz="0" w:space="0" w:color="auto"/>
      </w:divBdr>
    </w:div>
    <w:div w:id="1974751180">
      <w:bodyDiv w:val="1"/>
      <w:marLeft w:val="0"/>
      <w:marRight w:val="0"/>
      <w:marTop w:val="0"/>
      <w:marBottom w:val="0"/>
      <w:divBdr>
        <w:top w:val="none" w:sz="0" w:space="0" w:color="auto"/>
        <w:left w:val="none" w:sz="0" w:space="0" w:color="auto"/>
        <w:bottom w:val="none" w:sz="0" w:space="0" w:color="auto"/>
        <w:right w:val="none" w:sz="0" w:space="0" w:color="auto"/>
      </w:divBdr>
    </w:div>
    <w:div w:id="2026899767">
      <w:bodyDiv w:val="1"/>
      <w:marLeft w:val="0"/>
      <w:marRight w:val="0"/>
      <w:marTop w:val="0"/>
      <w:marBottom w:val="0"/>
      <w:divBdr>
        <w:top w:val="none" w:sz="0" w:space="0" w:color="auto"/>
        <w:left w:val="none" w:sz="0" w:space="0" w:color="auto"/>
        <w:bottom w:val="none" w:sz="0" w:space="0" w:color="auto"/>
        <w:right w:val="none" w:sz="0" w:space="0" w:color="auto"/>
      </w:divBdr>
    </w:div>
    <w:div w:id="2031297952">
      <w:bodyDiv w:val="1"/>
      <w:marLeft w:val="0"/>
      <w:marRight w:val="0"/>
      <w:marTop w:val="0"/>
      <w:marBottom w:val="0"/>
      <w:divBdr>
        <w:top w:val="none" w:sz="0" w:space="0" w:color="auto"/>
        <w:left w:val="none" w:sz="0" w:space="0" w:color="auto"/>
        <w:bottom w:val="none" w:sz="0" w:space="0" w:color="auto"/>
        <w:right w:val="none" w:sz="0" w:space="0" w:color="auto"/>
      </w:divBdr>
    </w:div>
    <w:div w:id="2094281563">
      <w:bodyDiv w:val="1"/>
      <w:marLeft w:val="0"/>
      <w:marRight w:val="0"/>
      <w:marTop w:val="0"/>
      <w:marBottom w:val="0"/>
      <w:divBdr>
        <w:top w:val="none" w:sz="0" w:space="0" w:color="auto"/>
        <w:left w:val="none" w:sz="0" w:space="0" w:color="auto"/>
        <w:bottom w:val="none" w:sz="0" w:space="0" w:color="auto"/>
        <w:right w:val="none" w:sz="0" w:space="0" w:color="auto"/>
      </w:divBdr>
    </w:div>
    <w:div w:id="2113014267">
      <w:bodyDiv w:val="1"/>
      <w:marLeft w:val="0"/>
      <w:marRight w:val="0"/>
      <w:marTop w:val="0"/>
      <w:marBottom w:val="0"/>
      <w:divBdr>
        <w:top w:val="none" w:sz="0" w:space="0" w:color="auto"/>
        <w:left w:val="none" w:sz="0" w:space="0" w:color="auto"/>
        <w:bottom w:val="none" w:sz="0" w:space="0" w:color="auto"/>
        <w:right w:val="none" w:sz="0" w:space="0" w:color="auto"/>
      </w:divBdr>
    </w:div>
    <w:div w:id="213393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youtu.be/JEvwiNw9_Hk" TargetMode="External"/><Relationship Id="rId1" Type="http://schemas.openxmlformats.org/officeDocument/2006/relationships/hyperlink" Target="https://gemeindebund.at/website2020/wp-content/uploads/2020/07/rfg_1-2017-finanz-kennzahlen-fuer-gemeindehaushalte-nach-vrv-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BCB59-3534-4EAB-90CA-3240E8F0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1418</TotalTime>
  <Pages>6</Pages>
  <Words>2392</Words>
  <Characters>13639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Thomas Hensler</dc:creator>
  <cp:keywords/>
  <dc:description/>
  <cp:lastModifiedBy>Thomas Hensler</cp:lastModifiedBy>
  <cp:revision>3</cp:revision>
  <dcterms:created xsi:type="dcterms:W3CDTF">2021-02-17T10:53:00Z</dcterms:created>
  <dcterms:modified xsi:type="dcterms:W3CDTF">2021-02-18T10:45:00Z</dcterms:modified>
</cp:coreProperties>
</file>